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B9FD" w14:textId="1FF522A4" w:rsidR="001F2360" w:rsidRDefault="001F2360">
      <w:pPr>
        <w:rPr>
          <w:b/>
          <w:bCs/>
        </w:rPr>
      </w:pPr>
      <w:r>
        <w:rPr>
          <w:b/>
          <w:bCs/>
        </w:rPr>
        <w:t>TENNIS TEAM FINLAND JA YKSILÖLLINEN PELAAJATUKI</w:t>
      </w:r>
    </w:p>
    <w:p w14:paraId="6DDB0C47" w14:textId="426D2083" w:rsidR="002C2C53" w:rsidRDefault="002C2C53">
      <w:pPr>
        <w:rPr>
          <w:b/>
          <w:bCs/>
        </w:rPr>
      </w:pPr>
      <w:r>
        <w:rPr>
          <w:noProof/>
        </w:rPr>
        <w:drawing>
          <wp:inline distT="0" distB="0" distL="0" distR="0" wp14:anchorId="1727BD40" wp14:editId="15734629">
            <wp:extent cx="5250180" cy="2955201"/>
            <wp:effectExtent l="0" t="0" r="7620" b="0"/>
            <wp:docPr id="1702689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83" cy="296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EFB7B" w14:textId="53628D46" w:rsidR="001F2360" w:rsidRDefault="001F2360" w:rsidP="001F2360">
      <w:r>
        <w:t>Suomen Tennisliiton keskitetty valmennuskeskusmalli muutt</w:t>
      </w:r>
      <w:r>
        <w:t>i</w:t>
      </w:r>
      <w:r>
        <w:t xml:space="preserve"> muotoaan syksy</w:t>
      </w:r>
      <w:r>
        <w:t>llä</w:t>
      </w:r>
      <w:r>
        <w:t xml:space="preserve"> 2025.</w:t>
      </w:r>
    </w:p>
    <w:p w14:paraId="02885F12" w14:textId="48C91313" w:rsidR="001F2360" w:rsidRDefault="001F2360" w:rsidP="001F2360">
      <w:r>
        <w:t>Talin Tenniskeskuksessa Helsingissä toiminut Tennisliiton vastuulla ollut ja yhteistyössä HVS-Tenniksen kanssa toteutettu valmennuskeskus korvat</w:t>
      </w:r>
      <w:r>
        <w:t>tiin</w:t>
      </w:r>
      <w:r>
        <w:t xml:space="preserve"> Tennis Team Finland -toiminnalla. Uudessa Tennis Team Finland -toimintamallissa nuorten huippupolulla olevien pelaajien tukemiseksi Tennisliitto ja seurat tekevät yhteistyötä.</w:t>
      </w:r>
    </w:p>
    <w:p w14:paraId="3EB18D5F" w14:textId="44B3E3EB" w:rsidR="001F2360" w:rsidRDefault="001F2360" w:rsidP="001F2360">
      <w:r>
        <w:t xml:space="preserve">Uuden mallin keskeinen tavoite on vahvistaa pelaajalähtöisyyttä sekä huippu-urheilun toimintaedellytyksiä. Taloudellista ja toiminnallista tukea kohdistetaan suoraan niille urheilijoille, jotka täyttävät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slam</w:t>
      </w:r>
      <w:proofErr w:type="spellEnd"/>
      <w:r>
        <w:t xml:space="preserve"> -polun kriteerit ja ympäristöihin, jossa kohti kansainvälistä huipputasoa tavoittelevat urheilijat harjoittelevat. Toiminnan ja ympäristön laatua arvioidaan jatkuvasti kansainvälisen vaatimustason mittareilla.</w:t>
      </w:r>
    </w:p>
    <w:p w14:paraId="7B347BAC" w14:textId="33B18CC0" w:rsidR="001F2360" w:rsidRPr="001F2360" w:rsidRDefault="001F2360" w:rsidP="001F2360">
      <w:pPr>
        <w:ind w:left="1304" w:firstLine="4"/>
        <w:rPr>
          <w:i/>
          <w:iCs/>
        </w:rPr>
      </w:pPr>
      <w:r w:rsidRPr="001F2360">
        <w:rPr>
          <w:i/>
          <w:iCs/>
        </w:rPr>
        <w:t xml:space="preserve">”Muutoksella haluamme varmistaa, että huippu-urheilun resurssit kohdentuvat juuri sinne, missä ne vaikuttavat eniten – pelaajan päivittäiseen harjoitteluun ja kehittymiseen. Uusi malli tekee tuesta aiempaa yksilöllisempää ja selkeämmin urheilijan tarpeisiin rakennettua. Lisäksi osana toimintaa tärkeänä tavoitteena on vahvistaa yhteistyötä Tennis Team Finland -toimintaan osallistuvien seurojen kanssa,” kertoo huipputennispäällikkö </w:t>
      </w:r>
      <w:r w:rsidRPr="001F2360">
        <w:rPr>
          <w:b/>
          <w:bCs/>
          <w:i/>
          <w:iCs/>
        </w:rPr>
        <w:t>Roope Kailaheimo</w:t>
      </w:r>
      <w:r w:rsidRPr="001F2360">
        <w:rPr>
          <w:i/>
          <w:iCs/>
        </w:rPr>
        <w:t>.</w:t>
      </w:r>
    </w:p>
    <w:p w14:paraId="7B25E15A" w14:textId="38CAF3D2" w:rsidR="001F2360" w:rsidRDefault="001F2360" w:rsidP="001F2360">
      <w:r w:rsidRPr="001F2360">
        <w:t xml:space="preserve">Urheilijan kotiseura ja Tennisliitto sitoutuvat yhdessä pelaajan ja hänen </w:t>
      </w:r>
      <w:proofErr w:type="gramStart"/>
      <w:r w:rsidRPr="001F2360">
        <w:t>tukijoukkojen</w:t>
      </w:r>
      <w:proofErr w:type="gramEnd"/>
      <w:r w:rsidRPr="001F2360">
        <w:t xml:space="preserve"> kanssa kehittämään nuoren pelaajan urakehitystä. Uudistuksen myötä alle 13-vuotiaiden toimintaa tuetaan ryhmittäin ja 14-vuotiaista alkaen yksilöllisesti aina 18-vuotiaiden juniorien </w:t>
      </w:r>
      <w:proofErr w:type="spellStart"/>
      <w:r w:rsidRPr="001F2360">
        <w:t>grand</w:t>
      </w:r>
      <w:proofErr w:type="spellEnd"/>
      <w:r w:rsidRPr="001F2360">
        <w:t xml:space="preserve"> </w:t>
      </w:r>
      <w:proofErr w:type="spellStart"/>
      <w:r w:rsidRPr="001F2360">
        <w:t>slam</w:t>
      </w:r>
      <w:proofErr w:type="spellEnd"/>
      <w:r w:rsidRPr="001F2360">
        <w:t xml:space="preserve"> -kilpailuihin asti.</w:t>
      </w:r>
      <w:r>
        <w:t xml:space="preserve"> </w:t>
      </w:r>
      <w:r>
        <w:t xml:space="preserve">Ammattilaisuran ensimmäisinä vuosina </w:t>
      </w:r>
      <w:proofErr w:type="gramStart"/>
      <w:r>
        <w:t>19-23</w:t>
      </w:r>
      <w:proofErr w:type="gramEnd"/>
      <w:r>
        <w:t xml:space="preserve">-vuotiaita pelaajia ja heidän henkilökohtaisia </w:t>
      </w:r>
      <w:proofErr w:type="gramStart"/>
      <w:r>
        <w:t>valmennustiimejä</w:t>
      </w:r>
      <w:proofErr w:type="gramEnd"/>
      <w:r>
        <w:t xml:space="preserve"> tuetaan taloudellisesti yksilöllisen pelaajatuen kautta.</w:t>
      </w:r>
    </w:p>
    <w:p w14:paraId="3E1B417B" w14:textId="5E8A10A3" w:rsidR="005635EE" w:rsidRDefault="005635EE" w:rsidP="001F2360">
      <w:pPr>
        <w:rPr>
          <w:b/>
          <w:bCs/>
        </w:rPr>
      </w:pPr>
      <w:r>
        <w:rPr>
          <w:b/>
          <w:bCs/>
        </w:rPr>
        <w:t>Kansainväliset kilpailumatkat</w:t>
      </w:r>
      <w:r w:rsidR="0019481C">
        <w:rPr>
          <w:b/>
          <w:bCs/>
        </w:rPr>
        <w:t xml:space="preserve">, </w:t>
      </w:r>
      <w:r>
        <w:rPr>
          <w:b/>
          <w:bCs/>
        </w:rPr>
        <w:t>leirit</w:t>
      </w:r>
      <w:r w:rsidR="0019481C">
        <w:rPr>
          <w:b/>
          <w:bCs/>
        </w:rPr>
        <w:t xml:space="preserve"> ja niitä koskevat pelisäännöt</w:t>
      </w:r>
    </w:p>
    <w:p w14:paraId="04CA21D0" w14:textId="50C5F269" w:rsidR="005635EE" w:rsidRDefault="005635EE" w:rsidP="001F2360">
      <w:r>
        <w:lastRenderedPageBreak/>
        <w:t xml:space="preserve">Kuten aiemmin valmennuskeskustoimintaan, myös Tennis Team Finland toimintaan kuuluu olennaisena osana kansainväliset kilpailumatkat ja leirit. Tapahtumat suunnitellaan </w:t>
      </w:r>
      <w:r w:rsidR="0019481C">
        <w:t xml:space="preserve">Tennis Team Finland toiminnassa olevien pelaajien ehdoilla, mutta niihin voi osallistua myös muita pelaajia kutsuperusteisesti. Tennis Team Finland toimintaan kuuluvaan toimintaan on määritelty yhteiset pelisäännöt ja kulujakauma osallistumiseen. </w:t>
      </w:r>
    </w:p>
    <w:p w14:paraId="52F253BF" w14:textId="5C8ED6D0" w:rsidR="0019481C" w:rsidRDefault="0019481C" w:rsidP="001F2360">
      <w:r>
        <w:t>Lisätietoa:</w:t>
      </w:r>
    </w:p>
    <w:p w14:paraId="4C47003D" w14:textId="616F7DB9" w:rsidR="0019481C" w:rsidRPr="00BC5D6F" w:rsidRDefault="0019481C" w:rsidP="0019481C">
      <w:pPr>
        <w:pStyle w:val="ListParagraph"/>
        <w:numPr>
          <w:ilvl w:val="0"/>
          <w:numId w:val="1"/>
        </w:numPr>
        <w:rPr>
          <w:highlight w:val="green"/>
        </w:rPr>
      </w:pPr>
      <w:r w:rsidRPr="00BC5D6F">
        <w:rPr>
          <w:highlight w:val="green"/>
        </w:rPr>
        <w:t>Tennis Team Finland pelisäännöt (lisätään linkki dokumenttiin)</w:t>
      </w:r>
    </w:p>
    <w:p w14:paraId="354D90D0" w14:textId="737AE7BE" w:rsidR="001F2360" w:rsidRPr="001F2360" w:rsidRDefault="001F2360" w:rsidP="001F2360">
      <w:pPr>
        <w:rPr>
          <w:b/>
          <w:bCs/>
        </w:rPr>
      </w:pPr>
      <w:r>
        <w:rPr>
          <w:b/>
          <w:bCs/>
        </w:rPr>
        <w:t>Tennis Team Finland pelaajat ja seurat</w:t>
      </w:r>
    </w:p>
    <w:p w14:paraId="56D192CD" w14:textId="647ABA84" w:rsidR="001F2360" w:rsidRDefault="001F2360" w:rsidP="001F2360">
      <w:r w:rsidRPr="007578E2">
        <w:t>Tennis Team Finland -toiminnan piiriin kutsutaan</w:t>
      </w:r>
      <w:r>
        <w:t xml:space="preserve"> </w:t>
      </w:r>
      <w:proofErr w:type="gramStart"/>
      <w:r>
        <w:t>12-18</w:t>
      </w:r>
      <w:proofErr w:type="gramEnd"/>
      <w:r>
        <w:t xml:space="preserve"> vuotiaita</w:t>
      </w:r>
      <w:r>
        <w:t xml:space="preserve"> </w:t>
      </w:r>
      <w:r w:rsidRPr="007578E2">
        <w:t>pelaajia, jotka ovat</w:t>
      </w:r>
      <w:r w:rsidR="003970ED">
        <w:t xml:space="preserve"> </w:t>
      </w:r>
      <w:proofErr w:type="gramStart"/>
      <w:r w:rsidR="003970ED">
        <w:t xml:space="preserve">täyttäneet </w:t>
      </w:r>
      <w:r w:rsidRPr="007578E2">
        <w:t xml:space="preserve"> </w:t>
      </w:r>
      <w:proofErr w:type="spellStart"/>
      <w:r w:rsidRPr="007578E2">
        <w:t>grand</w:t>
      </w:r>
      <w:proofErr w:type="spellEnd"/>
      <w:proofErr w:type="gramEnd"/>
      <w:r w:rsidRPr="007578E2">
        <w:t xml:space="preserve"> </w:t>
      </w:r>
      <w:proofErr w:type="spellStart"/>
      <w:r w:rsidRPr="007578E2">
        <w:t>slam</w:t>
      </w:r>
      <w:proofErr w:type="spellEnd"/>
      <w:r w:rsidRPr="007578E2">
        <w:t xml:space="preserve"> -polun kriteerit</w:t>
      </w:r>
      <w:r w:rsidR="003970ED">
        <w:t xml:space="preserve"> kuluvana tai sitä edeltävän vuoden aikana</w:t>
      </w:r>
      <w:r w:rsidRPr="007578E2">
        <w:t>.</w:t>
      </w:r>
      <w:r>
        <w:t xml:space="preserve"> Pelaajaryhmän kokoonpanoa tarkastellaan puolivuosittain.</w:t>
      </w:r>
      <w:r w:rsidRPr="007578E2">
        <w:t xml:space="preserve"> </w:t>
      </w:r>
      <w:r w:rsidR="003970ED">
        <w:t>Kaikkien toimintaan osallistuvien pelaajien ja valmennustiimien osalta edellytetään jatkuvaa kehityksen ja tavoitteiden seurantaa. Tuleville vuosille kriteeristöä päivitetään kokonaisvaltaisemmaksi ensimmäisen toimintavuoden kokemusten perusteella.</w:t>
      </w:r>
    </w:p>
    <w:p w14:paraId="4962A1BE" w14:textId="5CCCE167" w:rsidR="001F2360" w:rsidRPr="007578E2" w:rsidRDefault="001F2360" w:rsidP="001F2360">
      <w:r w:rsidRPr="007578E2">
        <w:t xml:space="preserve">Kokonaisuudessaan </w:t>
      </w:r>
      <w:r>
        <w:t>ranking kriteeristö</w:t>
      </w:r>
      <w:r w:rsidRPr="007578E2">
        <w:t xml:space="preserve"> on nähtävillä alla olevasta taulukosta</w:t>
      </w:r>
      <w:r w:rsidR="003970ED">
        <w:t>:</w:t>
      </w:r>
      <w:r>
        <w:t xml:space="preserve"> </w:t>
      </w:r>
    </w:p>
    <w:p w14:paraId="116527FA" w14:textId="6FAAF085" w:rsidR="003970ED" w:rsidRDefault="003970ED" w:rsidP="001F2360">
      <w:r>
        <w:rPr>
          <w:noProof/>
        </w:rPr>
        <w:drawing>
          <wp:inline distT="0" distB="0" distL="0" distR="0" wp14:anchorId="1F4C970D" wp14:editId="5744C507">
            <wp:extent cx="6120130" cy="4187825"/>
            <wp:effectExtent l="0" t="0" r="0" b="3175"/>
            <wp:docPr id="102799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C0BA" w14:textId="66767957" w:rsidR="001F2360" w:rsidRPr="007578E2" w:rsidRDefault="001F2360" w:rsidP="001F2360">
      <w:r>
        <w:t>Tällä hetkellä</w:t>
      </w:r>
      <w:r w:rsidRPr="007578E2">
        <w:t xml:space="preserve"> Tennis Team Finland -toiminnan kautta tukea kohdennetaan </w:t>
      </w:r>
      <w:r>
        <w:t>yhdeksälle</w:t>
      </w:r>
      <w:r w:rsidR="003970ED">
        <w:t xml:space="preserve"> </w:t>
      </w:r>
      <w:proofErr w:type="gramStart"/>
      <w:r w:rsidR="003970ED">
        <w:t>13-18</w:t>
      </w:r>
      <w:proofErr w:type="gramEnd"/>
      <w:r w:rsidR="003970ED">
        <w:t xml:space="preserve"> vuotiaalle </w:t>
      </w:r>
      <w:r w:rsidRPr="007578E2">
        <w:t>pelaajalle</w:t>
      </w:r>
      <w:r w:rsidR="003970ED">
        <w:t>. U</w:t>
      </w:r>
      <w:r w:rsidRPr="007578E2">
        <w:t>rheilijoiden kotiseuroja ovat HVS-Tennis, Smash</w:t>
      </w:r>
      <w:r>
        <w:t xml:space="preserve">, </w:t>
      </w:r>
      <w:r w:rsidRPr="007578E2">
        <w:t>Tampereen Tennisseura</w:t>
      </w:r>
      <w:r>
        <w:t xml:space="preserve"> sekä Espoon Tennisseura. Tennis Team Finland seuroja ovat HVS, Smash, ja </w:t>
      </w:r>
      <w:proofErr w:type="spellStart"/>
      <w:r>
        <w:t>TaTS</w:t>
      </w:r>
      <w:proofErr w:type="spellEnd"/>
      <w:r>
        <w:t xml:space="preserve">, </w:t>
      </w:r>
      <w:r>
        <w:lastRenderedPageBreak/>
        <w:t xml:space="preserve">joissa pelaajien kehityksen lisäksi kehitetään seurojen toimintaympäristöjä vastaamaan kansainvälistä vaatimustasoa. </w:t>
      </w:r>
      <w:r w:rsidR="003970ED">
        <w:t xml:space="preserve">Kansainvälistä näkökulmaa ja huippu-urheilun vaatimustasoa toimintaan tuo Jan De </w:t>
      </w:r>
      <w:proofErr w:type="spellStart"/>
      <w:r w:rsidR="003970ED">
        <w:t>Witt</w:t>
      </w:r>
      <w:proofErr w:type="spellEnd"/>
      <w:r w:rsidR="003970ED">
        <w:t>.</w:t>
      </w:r>
    </w:p>
    <w:p w14:paraId="718CD28C" w14:textId="5D12CC09" w:rsidR="001F2360" w:rsidRDefault="003970ED">
      <w:pPr>
        <w:rPr>
          <w:b/>
          <w:bCs/>
        </w:rPr>
      </w:pPr>
      <w:r>
        <w:rPr>
          <w:b/>
          <w:bCs/>
        </w:rPr>
        <w:t>Tennis Team Finland yksilöllinen pelaajatuki</w:t>
      </w:r>
    </w:p>
    <w:p w14:paraId="4E72EA50" w14:textId="26D85465" w:rsidR="002C2C53" w:rsidRDefault="002C2C53">
      <w:r>
        <w:t>Pelaajatuen tarkoituksena on t</w:t>
      </w:r>
      <w:r w:rsidRPr="003970ED">
        <w:t xml:space="preserve">ukea taloudellisesti </w:t>
      </w:r>
      <w:proofErr w:type="gramStart"/>
      <w:r w:rsidRPr="003970ED">
        <w:t>1</w:t>
      </w:r>
      <w:r>
        <w:t>9</w:t>
      </w:r>
      <w:r w:rsidRPr="003970ED">
        <w:t>-23</w:t>
      </w:r>
      <w:proofErr w:type="gramEnd"/>
      <w:r w:rsidRPr="003970ED">
        <w:t xml:space="preserve"> -vuotiaita </w:t>
      </w:r>
      <w:r>
        <w:t xml:space="preserve">ammattilaisuran alkuvaiheessa olevia urheilijoita ja edistää heidän </w:t>
      </w:r>
      <w:proofErr w:type="gramStart"/>
      <w:r>
        <w:t>kehitystä</w:t>
      </w:r>
      <w:proofErr w:type="gramEnd"/>
      <w:r>
        <w:t xml:space="preserve"> kohti ATP ja WTA TOP-100 sijoituksia sekä aikuisten maajoukkueita.</w:t>
      </w:r>
    </w:p>
    <w:p w14:paraId="34DEA330" w14:textId="61E2A222" w:rsidR="003970ED" w:rsidRDefault="003970ED">
      <w:proofErr w:type="gramStart"/>
      <w:r>
        <w:t>19-23</w:t>
      </w:r>
      <w:proofErr w:type="gramEnd"/>
      <w:r>
        <w:t xml:space="preserve"> vuotiaille pelaajille jaetaan yksilöllistä pelaajatukea edellisen ja kuluvan vuoden ranking tavoitteiden täyttymisen perusteella</w:t>
      </w:r>
      <w:r>
        <w:t xml:space="preserve"> yllä olevan taulukon mukaisesti.</w:t>
      </w:r>
      <w:r w:rsidR="002C2C53">
        <w:t xml:space="preserve"> Grand Slam polun kriteerit täyttäville pelaajille tuki on 10 000 Euroa ja Haastajapolun kriteerit täyttäville pelaajille 5000 Euroa. </w:t>
      </w:r>
      <w:r w:rsidR="002C2C53" w:rsidRPr="002C2C53">
        <w:t xml:space="preserve">Suoran taloudellisen tuen lisäksi </w:t>
      </w:r>
      <w:r w:rsidR="002C2C53">
        <w:t xml:space="preserve">esimerkiksi TEHO </w:t>
      </w:r>
      <w:proofErr w:type="spellStart"/>
      <w:r w:rsidR="002C2C53" w:rsidRPr="002C2C53">
        <w:t>Finnish</w:t>
      </w:r>
      <w:proofErr w:type="spellEnd"/>
      <w:r w:rsidR="002C2C53" w:rsidRPr="002C2C53">
        <w:t xml:space="preserve"> Tour, Tennisliiga ja Suomessa järjestettävät ammattilaiskilpailut ovat lisäksi toiminnallisia tukimuotoja</w:t>
      </w:r>
      <w:r w:rsidR="002C2C53">
        <w:t>.</w:t>
      </w:r>
    </w:p>
    <w:p w14:paraId="7B66EC09" w14:textId="18AB27EB" w:rsidR="002C2C53" w:rsidRDefault="002C2C53">
      <w:r>
        <w:t>Pelaajatuesta tehdään aina henkilökohtaiset sopimukset, jossa määritellään tarkemmin siihen liittyvät oikeudet ja velvollisuudet.</w:t>
      </w:r>
    </w:p>
    <w:sectPr w:rsidR="002C2C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5240B"/>
    <w:multiLevelType w:val="hybridMultilevel"/>
    <w:tmpl w:val="C498A0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0"/>
    <w:rsid w:val="0019481C"/>
    <w:rsid w:val="001F2360"/>
    <w:rsid w:val="002C2C53"/>
    <w:rsid w:val="003970ED"/>
    <w:rsid w:val="005635EE"/>
    <w:rsid w:val="00B128FA"/>
    <w:rsid w:val="00B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A945"/>
  <w15:chartTrackingRefBased/>
  <w15:docId w15:val="{0866945F-B4B2-4C06-8D63-4B4A18EF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3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7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436</Words>
  <Characters>3840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Roope Kailaheimo</dc:creator>
  <cp:keywords/>
  <dc:description/>
  <cp:lastModifiedBy>Roope Kailaheimo</cp:lastModifiedBy>
  <cp:revision>3</cp:revision>
  <dcterms:created xsi:type="dcterms:W3CDTF">2026-04-20T09:27:00Z</dcterms:created>
  <dcterms:modified xsi:type="dcterms:W3CDTF">2026-04-20T10:03:00Z</dcterms:modified>
</cp:coreProperties>
</file>