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53" w:rsidRDefault="00BC6685" w:rsidP="00424035">
      <w:pPr>
        <w:rPr>
          <w:b/>
          <w:sz w:val="40"/>
          <w:lang w:val="fi-FI"/>
        </w:rPr>
      </w:pPr>
      <w:r>
        <w:rPr>
          <w:b/>
          <w:noProof/>
          <w:sz w:val="40"/>
          <w:lang w:val="fi-FI" w:eastAsia="fi-FI"/>
        </w:rPr>
        <w:drawing>
          <wp:anchor distT="0" distB="0" distL="114300" distR="114300" simplePos="0" relativeHeight="251658240" behindDoc="0" locked="0" layoutInCell="1" allowOverlap="1" wp14:anchorId="0156E4A6" wp14:editId="7D8E5F4F">
            <wp:simplePos x="0" y="0"/>
            <wp:positionH relativeFrom="column">
              <wp:posOffset>5271135</wp:posOffset>
            </wp:positionH>
            <wp:positionV relativeFrom="paragraph">
              <wp:posOffset>-518795</wp:posOffset>
            </wp:positionV>
            <wp:extent cx="1227600" cy="1270800"/>
            <wp:effectExtent l="0" t="0" r="0" b="571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L_logo_sinivalk-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7600" cy="1270800"/>
                    </a:xfrm>
                    <a:prstGeom prst="rect">
                      <a:avLst/>
                    </a:prstGeom>
                  </pic:spPr>
                </pic:pic>
              </a:graphicData>
            </a:graphic>
            <wp14:sizeRelH relativeFrom="margin">
              <wp14:pctWidth>0</wp14:pctWidth>
            </wp14:sizeRelH>
            <wp14:sizeRelV relativeFrom="margin">
              <wp14:pctHeight>0</wp14:pctHeight>
            </wp14:sizeRelV>
          </wp:anchor>
        </w:drawing>
      </w:r>
      <w:r w:rsidR="00BD7789" w:rsidRPr="00424035">
        <w:rPr>
          <w:b/>
          <w:sz w:val="40"/>
          <w:lang w:val="fi-FI"/>
        </w:rPr>
        <w:t>Suomen Tennisliitto ry</w:t>
      </w:r>
      <w:r w:rsidR="00864653">
        <w:rPr>
          <w:b/>
          <w:sz w:val="40"/>
          <w:lang w:val="fi-FI"/>
        </w:rPr>
        <w:br/>
        <w:t>Y</w:t>
      </w:r>
      <w:r w:rsidR="00BD7789" w:rsidRPr="00424035">
        <w:rPr>
          <w:b/>
          <w:sz w:val="40"/>
          <w:lang w:val="fi-FI"/>
        </w:rPr>
        <w:t>hdenvertaisuussuunnitelma</w:t>
      </w:r>
      <w:r w:rsidR="00864653">
        <w:rPr>
          <w:b/>
          <w:sz w:val="40"/>
          <w:lang w:val="fi-FI"/>
        </w:rPr>
        <w:t xml:space="preserve"> 201</w:t>
      </w:r>
      <w:r w:rsidR="0089692C">
        <w:rPr>
          <w:b/>
          <w:sz w:val="40"/>
          <w:lang w:val="fi-FI"/>
        </w:rPr>
        <w:t>8</w:t>
      </w:r>
    </w:p>
    <w:sdt>
      <w:sdtPr>
        <w:rPr>
          <w:rFonts w:asciiTheme="minorHAnsi" w:eastAsiaTheme="minorHAnsi" w:hAnsiTheme="minorHAnsi" w:cstheme="minorBidi"/>
          <w:color w:val="auto"/>
          <w:sz w:val="22"/>
          <w:szCs w:val="22"/>
          <w:lang w:val="en-GB" w:eastAsia="en-US"/>
        </w:rPr>
        <w:id w:val="-153456216"/>
        <w:docPartObj>
          <w:docPartGallery w:val="Table of Contents"/>
          <w:docPartUnique/>
        </w:docPartObj>
      </w:sdtPr>
      <w:sdtEndPr>
        <w:rPr>
          <w:b/>
          <w:bCs/>
        </w:rPr>
      </w:sdtEndPr>
      <w:sdtContent>
        <w:p w:rsidR="00864653" w:rsidRDefault="00864653">
          <w:pPr>
            <w:pStyle w:val="Sisllysluettelonotsikko"/>
          </w:pPr>
          <w:r>
            <w:t>Sisällys</w:t>
          </w:r>
        </w:p>
        <w:p w:rsidR="00004CE4" w:rsidRPr="00004CE4" w:rsidRDefault="00864653">
          <w:pPr>
            <w:pStyle w:val="Sisluet1"/>
            <w:tabs>
              <w:tab w:val="right" w:leader="dot" w:pos="9628"/>
            </w:tabs>
            <w:rPr>
              <w:rFonts w:eastAsiaTheme="minorEastAsia"/>
              <w:noProof/>
              <w:sz w:val="20"/>
              <w:lang w:val="fi-FI" w:eastAsia="fi-FI"/>
            </w:rPr>
          </w:pPr>
          <w:r>
            <w:fldChar w:fldCharType="begin"/>
          </w:r>
          <w:r>
            <w:instrText xml:space="preserve"> TOC \o "1-3" \h \z \u </w:instrText>
          </w:r>
          <w:r>
            <w:fldChar w:fldCharType="separate"/>
          </w:r>
          <w:hyperlink w:anchor="_Toc462059764" w:history="1">
            <w:r w:rsidR="00004CE4" w:rsidRPr="00004CE4">
              <w:rPr>
                <w:rStyle w:val="Hyperlinkki"/>
                <w:noProof/>
                <w:sz w:val="20"/>
                <w:lang w:val="fi-FI"/>
              </w:rPr>
              <w:t>1 Yhdenvertaisuussuunnitelman tarkoitus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_Toc462059764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3</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65" w:history="1">
            <w:r w:rsidR="00004CE4" w:rsidRPr="00004CE4">
              <w:rPr>
                <w:rStyle w:val="Hyperlinkki"/>
                <w:noProof/>
                <w:sz w:val="20"/>
                <w:lang w:val="fi-FI"/>
              </w:rPr>
              <w:t>1.1 Taustaa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_Toc462059765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3</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66" w:history="1">
            <w:r w:rsidR="00004CE4" w:rsidRPr="00004CE4">
              <w:rPr>
                <w:rStyle w:val="Hyperlinkki"/>
                <w:noProof/>
                <w:sz w:val="20"/>
              </w:rPr>
              <w:t>1.2 Yhdenvertaisuuteen liittyviä termejä</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_Toc462059766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4</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67" w:history="1">
            <w:r w:rsidR="00004CE4" w:rsidRPr="00004CE4">
              <w:rPr>
                <w:rStyle w:val="Hyperlinkki"/>
                <w:noProof/>
                <w:sz w:val="20"/>
              </w:rPr>
              <w:t>1.2.1 Yhdenvertaisuus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_Toc462059767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4</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68" w:history="1">
            <w:r w:rsidR="00004CE4" w:rsidRPr="00004CE4">
              <w:rPr>
                <w:rStyle w:val="Hyperlinkki"/>
                <w:noProof/>
                <w:sz w:val="20"/>
              </w:rPr>
              <w:t>1.2.2 Syrjintä</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_Toc462059768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4</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69" w:history="1">
            <w:r w:rsidR="00004CE4" w:rsidRPr="00004CE4">
              <w:rPr>
                <w:rStyle w:val="Hyperlinkki"/>
                <w:noProof/>
                <w:sz w:val="20"/>
              </w:rPr>
              <w:t>1.2.3 Muodollinen yhdenvertaisuus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_Toc462059769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4</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0" w:history="1">
            <w:r w:rsidR="00004CE4" w:rsidRPr="00004CE4">
              <w:rPr>
                <w:rStyle w:val="Hyperlinkki"/>
                <w:noProof/>
                <w:sz w:val="20"/>
              </w:rPr>
              <w:t>1.2.4 Tosiasiallinen yhdenvertaisuus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_Toc462059770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4</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1" w:history="1">
            <w:r w:rsidR="00004CE4" w:rsidRPr="00004CE4">
              <w:rPr>
                <w:rStyle w:val="Hyperlinkki"/>
                <w:noProof/>
                <w:sz w:val="20"/>
              </w:rPr>
              <w:t>1.2.5 Positiivinen erityiskohtelu</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_Toc462059771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2" w:history="1">
            <w:r w:rsidR="00004CE4" w:rsidRPr="00004CE4">
              <w:rPr>
                <w:rStyle w:val="Hyperlinkki"/>
                <w:noProof/>
                <w:sz w:val="20"/>
              </w:rPr>
              <w:t>1.2.6 Kohtuullinen mukauttaminen</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_Toc462059772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3" w:history="1">
            <w:r w:rsidR="00004CE4" w:rsidRPr="00004CE4">
              <w:rPr>
                <w:rStyle w:val="Hyperlinkki"/>
                <w:noProof/>
                <w:sz w:val="20"/>
              </w:rPr>
              <w:t>1.2.7 Esteettömyys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_Toc462059773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4" w:history="1">
            <w:r w:rsidR="00004CE4" w:rsidRPr="00004CE4">
              <w:rPr>
                <w:rStyle w:val="Hyperlinkki"/>
                <w:noProof/>
                <w:sz w:val="20"/>
              </w:rPr>
              <w:t>1.2.8 Suvaitsevaisuus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_Toc462059774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5" w:history="1">
            <w:r w:rsidR="00004CE4" w:rsidRPr="00004CE4">
              <w:rPr>
                <w:rStyle w:val="Hyperlinkki"/>
                <w:noProof/>
                <w:sz w:val="20"/>
              </w:rPr>
              <w:t>1.2.9 Monimuotoisuus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_Toc462059775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76" w:history="1">
            <w:r w:rsidR="00004CE4" w:rsidRPr="00004CE4">
              <w:rPr>
                <w:rStyle w:val="Hyperlinkki"/>
                <w:noProof/>
                <w:sz w:val="20"/>
              </w:rPr>
              <w:t>1.2.10 Normatiivisuus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_Toc462059776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77" w:history="1">
            <w:r w:rsidR="00004CE4" w:rsidRPr="00004CE4">
              <w:rPr>
                <w:rStyle w:val="Hyperlinkki"/>
                <w:noProof/>
                <w:sz w:val="20"/>
                <w:lang w:val="fi-FI"/>
              </w:rPr>
              <w:t>1.3 Reilu peli</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_Toc462059777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5</w:t>
            </w:r>
            <w:r w:rsidR="00004CE4" w:rsidRPr="00004CE4">
              <w:rPr>
                <w:noProof/>
                <w:webHidden/>
                <w:sz w:val="20"/>
              </w:rPr>
              <w:fldChar w:fldCharType="end"/>
            </w:r>
          </w:hyperlink>
        </w:p>
        <w:p w:rsidR="00004CE4" w:rsidRPr="00004CE4" w:rsidRDefault="00713B4F">
          <w:pPr>
            <w:pStyle w:val="Sisluet1"/>
            <w:tabs>
              <w:tab w:val="right" w:leader="dot" w:pos="9628"/>
            </w:tabs>
            <w:rPr>
              <w:rFonts w:eastAsiaTheme="minorEastAsia"/>
              <w:noProof/>
              <w:sz w:val="20"/>
              <w:lang w:val="fi-FI" w:eastAsia="fi-FI"/>
            </w:rPr>
          </w:pPr>
          <w:hyperlink w:anchor="_Toc462059778" w:history="1">
            <w:r w:rsidR="00004CE4" w:rsidRPr="00004CE4">
              <w:rPr>
                <w:rStyle w:val="Hyperlinkki"/>
                <w:noProof/>
                <w:sz w:val="20"/>
                <w:lang w:val="fi-FI"/>
              </w:rPr>
              <w:t>2 Yhdenvertaisuussuunnitelman laatiminen</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_Toc462059778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6</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79" w:history="1">
            <w:r w:rsidR="00004CE4" w:rsidRPr="00004CE4">
              <w:rPr>
                <w:rStyle w:val="Hyperlinkki"/>
                <w:rFonts w:eastAsia="Calibri"/>
                <w:noProof/>
                <w:sz w:val="20"/>
              </w:rPr>
              <w:t>2.1 Yhdenvertaisuussuunnitelmassa tarkasteltavat toiminnan osa-alueet</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_Toc462059779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6</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0" w:history="1">
            <w:r w:rsidR="00004CE4" w:rsidRPr="00004CE4">
              <w:rPr>
                <w:rStyle w:val="Hyperlinkki"/>
                <w:noProof/>
                <w:sz w:val="20"/>
              </w:rPr>
              <w:t>2.1.1 Yleistä</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_Toc462059780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6</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1" w:history="1">
            <w:r w:rsidR="00004CE4" w:rsidRPr="00004CE4">
              <w:rPr>
                <w:rStyle w:val="Hyperlinkki"/>
                <w:noProof/>
                <w:sz w:val="20"/>
              </w:rPr>
              <w:t>2.1.2 Viestintä</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_Toc462059781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6</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2" w:history="1">
            <w:r w:rsidR="00004CE4" w:rsidRPr="00004CE4">
              <w:rPr>
                <w:rStyle w:val="Hyperlinkki"/>
                <w:noProof/>
                <w:sz w:val="20"/>
              </w:rPr>
              <w:t>2.1.3 Esteettömyys ja saavutettavuus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_Toc462059782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7</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3" w:history="1">
            <w:r w:rsidR="00004CE4" w:rsidRPr="00004CE4">
              <w:rPr>
                <w:rStyle w:val="Hyperlinkki"/>
                <w:noProof/>
                <w:sz w:val="20"/>
              </w:rPr>
              <w:t>2.1.3 Osallistuminen ja vaikuttaminen</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_Toc462059783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7</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4" w:history="1">
            <w:r w:rsidR="00004CE4" w:rsidRPr="00004CE4">
              <w:rPr>
                <w:rStyle w:val="Hyperlinkki"/>
                <w:noProof/>
                <w:sz w:val="20"/>
              </w:rPr>
              <w:t>2.1.4 Koulutus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_Toc462059784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7</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5" w:history="1">
            <w:r w:rsidR="00004CE4" w:rsidRPr="00004CE4">
              <w:rPr>
                <w:rStyle w:val="Hyperlinkki"/>
                <w:noProof/>
                <w:sz w:val="20"/>
              </w:rPr>
              <w:t>2.1.5 Urheilutoiminta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_Toc462059785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7</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86" w:history="1">
            <w:r w:rsidR="00004CE4" w:rsidRPr="00004CE4">
              <w:rPr>
                <w:rStyle w:val="Hyperlinkki"/>
                <w:noProof/>
                <w:sz w:val="20"/>
              </w:rPr>
              <w:t>2.1.6 Järjestö työnantajana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_Toc462059786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7</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87" w:history="1">
            <w:r w:rsidR="00004CE4" w:rsidRPr="00004CE4">
              <w:rPr>
                <w:rStyle w:val="Hyperlinkki"/>
                <w:noProof/>
                <w:sz w:val="20"/>
                <w:lang w:val="fi-FI"/>
              </w:rPr>
              <w:t>2.2 Yhdenvertaisuussuunnitelman laatimiseen osallistuneet tahot</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_Toc462059787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8</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88" w:history="1">
            <w:r w:rsidR="00004CE4" w:rsidRPr="00004CE4">
              <w:rPr>
                <w:rStyle w:val="Hyperlinkki"/>
                <w:noProof/>
                <w:sz w:val="20"/>
                <w:lang w:val="fi-FI"/>
              </w:rPr>
              <w:t>2.3 Arvio nykytilanteesta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_Toc462059788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8</w:t>
            </w:r>
            <w:r w:rsidR="00004CE4" w:rsidRPr="00004CE4">
              <w:rPr>
                <w:noProof/>
                <w:webHidden/>
                <w:sz w:val="20"/>
              </w:rPr>
              <w:fldChar w:fldCharType="end"/>
            </w:r>
          </w:hyperlink>
        </w:p>
        <w:p w:rsidR="00004CE4" w:rsidRPr="00004CE4" w:rsidRDefault="00713B4F">
          <w:pPr>
            <w:pStyle w:val="Sisluet1"/>
            <w:tabs>
              <w:tab w:val="right" w:leader="dot" w:pos="9628"/>
            </w:tabs>
            <w:rPr>
              <w:rFonts w:eastAsiaTheme="minorEastAsia"/>
              <w:noProof/>
              <w:sz w:val="20"/>
              <w:lang w:val="fi-FI" w:eastAsia="fi-FI"/>
            </w:rPr>
          </w:pPr>
          <w:hyperlink w:anchor="_Toc462059789" w:history="1">
            <w:r w:rsidR="00004CE4" w:rsidRPr="00004CE4">
              <w:rPr>
                <w:rStyle w:val="Hyperlinkki"/>
                <w:noProof/>
                <w:sz w:val="20"/>
                <w:lang w:val="fi-FI"/>
              </w:rPr>
              <w:t>3. Yhdenvertaisuutta edistävät toimenpiteet 2016-2017</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_Toc462059789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90" w:history="1">
            <w:r w:rsidR="00004CE4" w:rsidRPr="00004CE4">
              <w:rPr>
                <w:rStyle w:val="Hyperlinkki"/>
                <w:noProof/>
                <w:sz w:val="20"/>
                <w:lang w:val="fi-FI"/>
              </w:rPr>
              <w:t>3.1 Mitä ja miten muutetaan</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_Toc462059790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91" w:history="1">
            <w:r w:rsidR="00004CE4" w:rsidRPr="00004CE4">
              <w:rPr>
                <w:rStyle w:val="Hyperlinkki"/>
                <w:noProof/>
                <w:sz w:val="20"/>
                <w:lang w:val="fi-FI"/>
              </w:rPr>
              <w:t>3.1.1 Viestintä yhdenvertaisuusasioista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_Toc462059791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92" w:history="1">
            <w:r w:rsidR="00004CE4" w:rsidRPr="00004CE4">
              <w:rPr>
                <w:rStyle w:val="Hyperlinkki"/>
                <w:noProof/>
                <w:sz w:val="20"/>
                <w:lang w:val="fi-FI"/>
              </w:rPr>
              <w:t>3.1.2 Madalletaan kynnystä aloittaa harrastus</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_Toc462059792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Pr="00004CE4" w:rsidRDefault="00713B4F">
          <w:pPr>
            <w:pStyle w:val="Sisluet3"/>
            <w:tabs>
              <w:tab w:val="right" w:leader="dot" w:pos="9628"/>
            </w:tabs>
            <w:rPr>
              <w:rFonts w:eastAsiaTheme="minorEastAsia"/>
              <w:noProof/>
              <w:sz w:val="20"/>
              <w:lang w:val="fi-FI" w:eastAsia="fi-FI"/>
            </w:rPr>
          </w:pPr>
          <w:hyperlink w:anchor="_Toc462059793" w:history="1">
            <w:r w:rsidR="00004CE4" w:rsidRPr="00004CE4">
              <w:rPr>
                <w:rStyle w:val="Hyperlinkki"/>
                <w:noProof/>
                <w:sz w:val="20"/>
                <w:lang w:val="fi-FI"/>
              </w:rPr>
              <w:t>3.1.3 Luodaan toimintamalli syrjintätapauksiin</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_Toc462059793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94" w:history="1">
            <w:r w:rsidR="00004CE4" w:rsidRPr="00004CE4">
              <w:rPr>
                <w:rStyle w:val="Hyperlinkki"/>
                <w:noProof/>
                <w:sz w:val="20"/>
                <w:lang w:val="fi-FI"/>
              </w:rPr>
              <w:t>3.2 Aikataulu ja vastuut</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_Toc462059794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Pr="00004CE4" w:rsidRDefault="00713B4F">
          <w:pPr>
            <w:pStyle w:val="Sisluet2"/>
            <w:tabs>
              <w:tab w:val="right" w:leader="dot" w:pos="9628"/>
            </w:tabs>
            <w:rPr>
              <w:rFonts w:eastAsiaTheme="minorEastAsia"/>
              <w:noProof/>
              <w:sz w:val="20"/>
              <w:lang w:val="fi-FI" w:eastAsia="fi-FI"/>
            </w:rPr>
          </w:pPr>
          <w:hyperlink w:anchor="_Toc462059795" w:history="1">
            <w:r w:rsidR="00004CE4" w:rsidRPr="00004CE4">
              <w:rPr>
                <w:rStyle w:val="Hyperlinkki"/>
                <w:noProof/>
                <w:sz w:val="20"/>
                <w:lang w:val="fi-FI"/>
              </w:rPr>
              <w:t>3.3 Seuranta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_Toc462059795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9</w:t>
            </w:r>
            <w:r w:rsidR="00004CE4" w:rsidRPr="00004CE4">
              <w:rPr>
                <w:noProof/>
                <w:webHidden/>
                <w:sz w:val="20"/>
              </w:rPr>
              <w:fldChar w:fldCharType="end"/>
            </w:r>
          </w:hyperlink>
        </w:p>
        <w:p w:rsidR="00004CE4" w:rsidRDefault="00713B4F">
          <w:pPr>
            <w:pStyle w:val="Sisluet1"/>
            <w:tabs>
              <w:tab w:val="right" w:leader="dot" w:pos="9628"/>
            </w:tabs>
            <w:rPr>
              <w:rFonts w:eastAsiaTheme="minorEastAsia"/>
              <w:noProof/>
              <w:lang w:val="fi-FI" w:eastAsia="fi-FI"/>
            </w:rPr>
          </w:pPr>
          <w:hyperlink w:anchor="_Toc462059796" w:history="1">
            <w:r w:rsidR="00004CE4" w:rsidRPr="00004CE4">
              <w:rPr>
                <w:rStyle w:val="Hyperlinkki"/>
                <w:noProof/>
                <w:sz w:val="20"/>
                <w:lang w:val="fi-FI"/>
              </w:rPr>
              <w:t>4. Lähteitä/oppaita</w:t>
            </w:r>
            <w:r w:rsidR="00004CE4" w:rsidRPr="00004CE4">
              <w:rPr>
                <w:noProof/>
                <w:webHidden/>
                <w:sz w:val="20"/>
              </w:rPr>
              <w:tab/>
            </w:r>
            <w:r w:rsidR="00004CE4" w:rsidRPr="00004CE4">
              <w:rPr>
                <w:noProof/>
                <w:webHidden/>
                <w:sz w:val="20"/>
              </w:rPr>
              <w:fldChar w:fldCharType="begin"/>
            </w:r>
            <w:r w:rsidR="00004CE4" w:rsidRPr="00004CE4">
              <w:rPr>
                <w:noProof/>
                <w:webHidden/>
                <w:sz w:val="20"/>
              </w:rPr>
              <w:instrText xml:space="preserve"> PAGEREF _Toc462059796 \h </w:instrText>
            </w:r>
            <w:r w:rsidR="00004CE4" w:rsidRPr="00004CE4">
              <w:rPr>
                <w:noProof/>
                <w:webHidden/>
                <w:sz w:val="20"/>
              </w:rPr>
            </w:r>
            <w:r w:rsidR="00004CE4" w:rsidRPr="00004CE4">
              <w:rPr>
                <w:noProof/>
                <w:webHidden/>
                <w:sz w:val="20"/>
              </w:rPr>
              <w:fldChar w:fldCharType="separate"/>
            </w:r>
            <w:r w:rsidR="00004CE4" w:rsidRPr="00004CE4">
              <w:rPr>
                <w:noProof/>
                <w:webHidden/>
                <w:sz w:val="20"/>
              </w:rPr>
              <w:t>10</w:t>
            </w:r>
            <w:r w:rsidR="00004CE4" w:rsidRPr="00004CE4">
              <w:rPr>
                <w:noProof/>
                <w:webHidden/>
                <w:sz w:val="20"/>
              </w:rPr>
              <w:fldChar w:fldCharType="end"/>
            </w:r>
          </w:hyperlink>
        </w:p>
        <w:p w:rsidR="00864653" w:rsidRPr="00004CE4" w:rsidRDefault="00864653" w:rsidP="00424035">
          <w:r>
            <w:rPr>
              <w:b/>
              <w:bCs/>
            </w:rPr>
            <w:fldChar w:fldCharType="end"/>
          </w:r>
        </w:p>
      </w:sdtContent>
    </w:sdt>
    <w:p w:rsidR="00BD7789" w:rsidRDefault="005F4DAD" w:rsidP="00864653">
      <w:pPr>
        <w:pStyle w:val="Otsikko1"/>
        <w:pageBreakBefore/>
        <w:rPr>
          <w:lang w:val="fi-FI"/>
        </w:rPr>
      </w:pPr>
      <w:bookmarkStart w:id="0" w:name="_Toc462059764"/>
      <w:r>
        <w:rPr>
          <w:lang w:val="fi-FI"/>
        </w:rPr>
        <w:lastRenderedPageBreak/>
        <w:t>1</w:t>
      </w:r>
      <w:r w:rsidR="00424035">
        <w:rPr>
          <w:lang w:val="fi-FI"/>
        </w:rPr>
        <w:t xml:space="preserve"> </w:t>
      </w:r>
      <w:r w:rsidR="00FE56AA">
        <w:rPr>
          <w:lang w:val="fi-FI"/>
        </w:rPr>
        <w:t>Y</w:t>
      </w:r>
      <w:r w:rsidR="00CA28C6">
        <w:rPr>
          <w:lang w:val="fi-FI"/>
        </w:rPr>
        <w:t>hdenvertaisuussuunnitelman tarkoitus</w:t>
      </w:r>
      <w:bookmarkEnd w:id="0"/>
    </w:p>
    <w:p w:rsidR="00424035" w:rsidRPr="00424035" w:rsidRDefault="00FE56AA" w:rsidP="00424035">
      <w:pPr>
        <w:pStyle w:val="Otsikko2"/>
        <w:rPr>
          <w:lang w:val="fi-FI"/>
        </w:rPr>
      </w:pPr>
      <w:bookmarkStart w:id="1" w:name="_Toc462059765"/>
      <w:r>
        <w:rPr>
          <w:lang w:val="fi-FI"/>
        </w:rPr>
        <w:t>1.1 Taustaa</w:t>
      </w:r>
      <w:bookmarkEnd w:id="1"/>
    </w:p>
    <w:p w:rsidR="00380520" w:rsidRDefault="00380520" w:rsidP="00380520">
      <w:pPr>
        <w:rPr>
          <w:lang w:val="fi-FI"/>
        </w:rPr>
      </w:pPr>
      <w:r>
        <w:rPr>
          <w:lang w:val="fi-FI"/>
        </w:rPr>
        <w:t xml:space="preserve">Suomen Tennisliitto ry toimii tenniksen kattojärjestönä Suomessa ja edustaa suomalaisia tennisseuroja. Tennisliiton sääntöjen mukaisena tarkoituksena on edistää, valvoa ja ohjata Suomen tennisurheilua ja sen kehitystä sekä toimia </w:t>
      </w:r>
      <w:r w:rsidRPr="00380520">
        <w:rPr>
          <w:lang w:val="fi-FI"/>
        </w:rPr>
        <w:t>jäsentensä aatteellisena järjestönä ja yhdyssiteenä. Liiton toiminnan perustana</w:t>
      </w:r>
      <w:r>
        <w:rPr>
          <w:lang w:val="fi-FI"/>
        </w:rPr>
        <w:t xml:space="preserve"> ovat liikunnan eettiset arvot </w:t>
      </w:r>
      <w:r w:rsidRPr="00380520">
        <w:rPr>
          <w:lang w:val="fi-FI"/>
        </w:rPr>
        <w:t>ja urheilun reilun pelin periaatteet. Toiminnassa edistetään su</w:t>
      </w:r>
      <w:r>
        <w:rPr>
          <w:lang w:val="fi-FI"/>
        </w:rPr>
        <w:t>kupuolten välistä tasa-arvoa.</w:t>
      </w:r>
    </w:p>
    <w:p w:rsidR="00FE56AA" w:rsidRPr="00380520" w:rsidRDefault="00380520" w:rsidP="00380520">
      <w:pPr>
        <w:rPr>
          <w:lang w:val="fi-FI"/>
        </w:rPr>
      </w:pPr>
      <w:r w:rsidRPr="00380520">
        <w:rPr>
          <w:lang w:val="fi-FI"/>
        </w:rPr>
        <w:t>Liikunnan ja urheilun kansalaistoiminta on olet</w:t>
      </w:r>
      <w:r>
        <w:rPr>
          <w:lang w:val="fi-FI"/>
        </w:rPr>
        <w:t xml:space="preserve">usarvoisesti kaikille avointa – </w:t>
      </w:r>
      <w:r w:rsidRPr="00380520">
        <w:rPr>
          <w:lang w:val="fi-FI"/>
        </w:rPr>
        <w:t>järjestöjen tavoitteena on kasvattaa lajin harrastaj</w:t>
      </w:r>
      <w:r>
        <w:rPr>
          <w:lang w:val="fi-FI"/>
        </w:rPr>
        <w:t xml:space="preserve">akuntaa ja innostaa toiminnasta </w:t>
      </w:r>
      <w:r w:rsidRPr="00380520">
        <w:rPr>
          <w:lang w:val="fi-FI"/>
        </w:rPr>
        <w:t>kiinnostuneita mukaan eri rooleissa: vapaaeh</w:t>
      </w:r>
      <w:r>
        <w:rPr>
          <w:lang w:val="fi-FI"/>
        </w:rPr>
        <w:t xml:space="preserve">toistoimijoiksi, valmentajiksi, </w:t>
      </w:r>
      <w:r w:rsidRPr="00380520">
        <w:rPr>
          <w:lang w:val="fi-FI"/>
        </w:rPr>
        <w:t xml:space="preserve">luottamushenkilöiksi, talkooavuksi jne. Vaikka ovi </w:t>
      </w:r>
      <w:r>
        <w:rPr>
          <w:lang w:val="fi-FI"/>
        </w:rPr>
        <w:t xml:space="preserve">olisi auki, kynnys astua mukaan </w:t>
      </w:r>
      <w:r w:rsidRPr="00380520">
        <w:rPr>
          <w:lang w:val="fi-FI"/>
        </w:rPr>
        <w:t>toimintaan voi olla eri syistä johtuen liian korkea.</w:t>
      </w:r>
      <w:r w:rsidR="000D1B62">
        <w:rPr>
          <w:lang w:val="fi-FI"/>
        </w:rPr>
        <w:t xml:space="preserve"> Myös u</w:t>
      </w:r>
      <w:r w:rsidR="00FE56AA" w:rsidRPr="00FE56AA">
        <w:rPr>
          <w:lang w:val="fi-FI"/>
        </w:rPr>
        <w:t>udistunut lainsäädäntö velvoittaa liikuntajärjestöjä entistä voimakkaammin edistämään toiminnassaan yhdenvertaisuutta ja tasa-arvoa.</w:t>
      </w:r>
    </w:p>
    <w:p w:rsidR="00380520" w:rsidRPr="00380520" w:rsidRDefault="00380520" w:rsidP="00380520">
      <w:pPr>
        <w:rPr>
          <w:lang w:val="fi-FI"/>
        </w:rPr>
      </w:pPr>
      <w:r w:rsidRPr="00380520">
        <w:rPr>
          <w:lang w:val="fi-FI"/>
        </w:rPr>
        <w:t>Uusi yhdenvertaisuuslaki astui voimaan 1.1.2015.</w:t>
      </w:r>
      <w:r>
        <w:rPr>
          <w:lang w:val="fi-FI"/>
        </w:rPr>
        <w:t xml:space="preserve"> Syrjintä on kielletty kaikessa </w:t>
      </w:r>
      <w:r w:rsidRPr="00380520">
        <w:rPr>
          <w:lang w:val="fi-FI"/>
        </w:rPr>
        <w:t>yksityisessä ja julkisessa toiminnassa. Laki edellyt</w:t>
      </w:r>
      <w:r>
        <w:rPr>
          <w:lang w:val="fi-FI"/>
        </w:rPr>
        <w:t xml:space="preserve">tää yhdenvertaisuussuunnitelmaa </w:t>
      </w:r>
      <w:r w:rsidRPr="00380520">
        <w:rPr>
          <w:lang w:val="fi-FI"/>
        </w:rPr>
        <w:t>viranomaisilta, koulutuksen järjestäjiltä sekä työnan</w:t>
      </w:r>
      <w:r>
        <w:rPr>
          <w:lang w:val="fi-FI"/>
        </w:rPr>
        <w:t xml:space="preserve">tajilta, joilla on vähintään 30 </w:t>
      </w:r>
      <w:r w:rsidRPr="00380520">
        <w:rPr>
          <w:lang w:val="fi-FI"/>
        </w:rPr>
        <w:t>työntekijää. Työnantajan velvollisuus edistää y</w:t>
      </w:r>
      <w:r>
        <w:rPr>
          <w:lang w:val="fi-FI"/>
        </w:rPr>
        <w:t xml:space="preserve">hdenvertaisuutta koskee kaikkia </w:t>
      </w:r>
      <w:r w:rsidRPr="00380520">
        <w:rPr>
          <w:lang w:val="fi-FI"/>
        </w:rPr>
        <w:t>järjestöjä. Järjestöt, joissa on vähintään 30 henkilöä,</w:t>
      </w:r>
      <w:r>
        <w:rPr>
          <w:lang w:val="fi-FI"/>
        </w:rPr>
        <w:t xml:space="preserve"> ovat velvollisia tekemään lain </w:t>
      </w:r>
      <w:r w:rsidRPr="00380520">
        <w:rPr>
          <w:lang w:val="fi-FI"/>
        </w:rPr>
        <w:t>edellyttämän suunnitelman yhdenvertaisuuden e</w:t>
      </w:r>
      <w:r>
        <w:rPr>
          <w:lang w:val="fi-FI"/>
        </w:rPr>
        <w:t xml:space="preserve">distämisestä. Yhdenvertaisuuden </w:t>
      </w:r>
      <w:r w:rsidRPr="00380520">
        <w:rPr>
          <w:lang w:val="fi-FI"/>
        </w:rPr>
        <w:t>edistäminen koskee kaikkia syrjintäperusteita. (Yhdenvertaisuuslaki.)</w:t>
      </w:r>
    </w:p>
    <w:p w:rsidR="00380520" w:rsidRPr="00380520" w:rsidRDefault="00380520" w:rsidP="00380520">
      <w:pPr>
        <w:rPr>
          <w:lang w:val="fi-FI"/>
        </w:rPr>
      </w:pPr>
      <w:r w:rsidRPr="00380520">
        <w:rPr>
          <w:lang w:val="fi-FI"/>
        </w:rPr>
        <w:t>Uusi tasa-arvolaki astui voimaan 1.1.2015. Laissa s</w:t>
      </w:r>
      <w:r>
        <w:rPr>
          <w:lang w:val="fi-FI"/>
        </w:rPr>
        <w:t xml:space="preserve">äädetään sukupuolten tasa-arvon </w:t>
      </w:r>
      <w:r w:rsidRPr="00380520">
        <w:rPr>
          <w:lang w:val="fi-FI"/>
        </w:rPr>
        <w:t>edistämisestä ja sukupuoleen perustuvan syrjinnän kiellosta. Uudistetussa tasa</w:t>
      </w:r>
      <w:r>
        <w:rPr>
          <w:lang w:val="fi-FI"/>
        </w:rPr>
        <w:t xml:space="preserve">-arvolaissa </w:t>
      </w:r>
      <w:r w:rsidRPr="00380520">
        <w:rPr>
          <w:lang w:val="fi-FI"/>
        </w:rPr>
        <w:t xml:space="preserve">sukupuoleen perustuvan syrjinnän </w:t>
      </w:r>
      <w:r>
        <w:rPr>
          <w:lang w:val="fi-FI"/>
        </w:rPr>
        <w:t xml:space="preserve">kiellot laajennettiin koskemaan </w:t>
      </w:r>
      <w:r w:rsidRPr="00380520">
        <w:rPr>
          <w:lang w:val="fi-FI"/>
        </w:rPr>
        <w:t>sukupuoli-identiteettiin tai sukupuolen ilmaisuun perust</w:t>
      </w:r>
      <w:r>
        <w:rPr>
          <w:lang w:val="fi-FI"/>
        </w:rPr>
        <w:t xml:space="preserve">uvaa syrjintää. Laki velvoittaa </w:t>
      </w:r>
      <w:r w:rsidRPr="00380520">
        <w:rPr>
          <w:lang w:val="fi-FI"/>
        </w:rPr>
        <w:t>viranomaisia, koulutuksen järjestäjiä ja työnantaj</w:t>
      </w:r>
      <w:r>
        <w:rPr>
          <w:lang w:val="fi-FI"/>
        </w:rPr>
        <w:t xml:space="preserve">ia myös ennaltaehkäisemään tätä </w:t>
      </w:r>
      <w:r w:rsidRPr="00380520">
        <w:rPr>
          <w:lang w:val="fi-FI"/>
        </w:rPr>
        <w:t>syrjintää. (Laki naisten ja miesten välisestä tasa-arvosta.)</w:t>
      </w:r>
    </w:p>
    <w:p w:rsidR="00380520" w:rsidRPr="00380520" w:rsidRDefault="00380520" w:rsidP="00380520">
      <w:pPr>
        <w:rPr>
          <w:lang w:val="fi-FI"/>
        </w:rPr>
      </w:pPr>
      <w:r w:rsidRPr="00380520">
        <w:rPr>
          <w:lang w:val="fi-FI"/>
        </w:rPr>
        <w:t>Uusi liikuntalaki astui voimaan 1.5.2015. Lakiin tuli voimakkaampi vaatimu</w:t>
      </w:r>
      <w:r>
        <w:rPr>
          <w:lang w:val="fi-FI"/>
        </w:rPr>
        <w:t xml:space="preserve">s </w:t>
      </w:r>
      <w:r w:rsidRPr="00380520">
        <w:rPr>
          <w:lang w:val="fi-FI"/>
        </w:rPr>
        <w:t>yhdenvertaisuuden ja tasa-arvon edistäm</w:t>
      </w:r>
      <w:r>
        <w:rPr>
          <w:lang w:val="fi-FI"/>
        </w:rPr>
        <w:t xml:space="preserve">isestä. Lain mukaan järjestöjen </w:t>
      </w:r>
      <w:r w:rsidRPr="00380520">
        <w:rPr>
          <w:lang w:val="fi-FI"/>
        </w:rPr>
        <w:t>valtionavustuksen määrää harkittaessa otetaan huom</w:t>
      </w:r>
      <w:r>
        <w:rPr>
          <w:lang w:val="fi-FI"/>
        </w:rPr>
        <w:t xml:space="preserve">ioon se, miten järjestö edistää </w:t>
      </w:r>
      <w:r w:rsidRPr="00380520">
        <w:rPr>
          <w:lang w:val="fi-FI"/>
        </w:rPr>
        <w:t>yhdenvertaisuutta ja tasa-arvoa. Liikunta- ja urheilujärjestöjen</w:t>
      </w:r>
      <w:r>
        <w:rPr>
          <w:lang w:val="fi-FI"/>
        </w:rPr>
        <w:t xml:space="preserve"> </w:t>
      </w:r>
      <w:r w:rsidRPr="00380520">
        <w:rPr>
          <w:lang w:val="fi-FI"/>
        </w:rPr>
        <w:t>yhdenvertaisuussuunnitelma tulee ulottaa s</w:t>
      </w:r>
      <w:r>
        <w:rPr>
          <w:lang w:val="fi-FI"/>
        </w:rPr>
        <w:t xml:space="preserve">ekä työyhteisöön että järjestön </w:t>
      </w:r>
      <w:r w:rsidRPr="00380520">
        <w:rPr>
          <w:lang w:val="fi-FI"/>
        </w:rPr>
        <w:t>toimintaan. (Liikuntalaki.)</w:t>
      </w:r>
    </w:p>
    <w:p w:rsidR="00380520" w:rsidRPr="00380520" w:rsidRDefault="00380520" w:rsidP="00380520">
      <w:pPr>
        <w:rPr>
          <w:lang w:val="fi-FI"/>
        </w:rPr>
      </w:pPr>
      <w:r w:rsidRPr="00380520">
        <w:rPr>
          <w:lang w:val="fi-FI"/>
        </w:rPr>
        <w:t xml:space="preserve">Järjestöjen luottamus- ja toimihenkilöt </w:t>
      </w:r>
      <w:r>
        <w:rPr>
          <w:lang w:val="fi-FI"/>
        </w:rPr>
        <w:t xml:space="preserve">ovat avainasemassa siinä, miten </w:t>
      </w:r>
      <w:r w:rsidRPr="00380520">
        <w:rPr>
          <w:lang w:val="fi-FI"/>
        </w:rPr>
        <w:t xml:space="preserve">yhdenvertaisesti järjestön perustoiminta toteutetaan. </w:t>
      </w:r>
      <w:r>
        <w:rPr>
          <w:lang w:val="fi-FI"/>
        </w:rPr>
        <w:t xml:space="preserve">Yksittäisten vapaaehtoisten tai </w:t>
      </w:r>
      <w:r w:rsidRPr="00380520">
        <w:rPr>
          <w:lang w:val="fi-FI"/>
        </w:rPr>
        <w:t>työntekijöiden ponnistelut yhdenvertaisuuden edist</w:t>
      </w:r>
      <w:r>
        <w:rPr>
          <w:lang w:val="fi-FI"/>
        </w:rPr>
        <w:t xml:space="preserve">ämiseksi tarvitsevat rinnalleen </w:t>
      </w:r>
      <w:r w:rsidRPr="00380520">
        <w:rPr>
          <w:lang w:val="fi-FI"/>
        </w:rPr>
        <w:t>järjestörakenteita, jotka tukevat yhdenvertaisuutta j</w:t>
      </w:r>
      <w:r>
        <w:rPr>
          <w:lang w:val="fi-FI"/>
        </w:rPr>
        <w:t xml:space="preserve">a syrjimättömyyttä. Yksittäinen </w:t>
      </w:r>
      <w:r w:rsidRPr="00380520">
        <w:rPr>
          <w:lang w:val="fi-FI"/>
        </w:rPr>
        <w:t>vapaaehtoinen voi tehdä paljon yhdenvertais</w:t>
      </w:r>
      <w:r>
        <w:rPr>
          <w:lang w:val="fi-FI"/>
        </w:rPr>
        <w:t xml:space="preserve">uuden edistämiseksi esimerkiksi </w:t>
      </w:r>
      <w:r w:rsidRPr="00380520">
        <w:rPr>
          <w:lang w:val="fi-FI"/>
        </w:rPr>
        <w:t>puuttumalla kiusaamiseen ja syrjintään, mutta tämä</w:t>
      </w:r>
      <w:r>
        <w:rPr>
          <w:lang w:val="fi-FI"/>
        </w:rPr>
        <w:t xml:space="preserve"> ei vielä takaa, että myös muut </w:t>
      </w:r>
      <w:r w:rsidRPr="00380520">
        <w:rPr>
          <w:lang w:val="fi-FI"/>
        </w:rPr>
        <w:t>järjestön toimijat osaavat toimia samoin.</w:t>
      </w:r>
    </w:p>
    <w:p w:rsidR="00380520" w:rsidRPr="00380520" w:rsidRDefault="00380520" w:rsidP="00380520">
      <w:pPr>
        <w:rPr>
          <w:lang w:val="fi-FI"/>
        </w:rPr>
      </w:pPr>
      <w:r w:rsidRPr="00380520">
        <w:rPr>
          <w:lang w:val="fi-FI"/>
        </w:rPr>
        <w:t>Yhdenvertaisuuden edistämin</w:t>
      </w:r>
      <w:r>
        <w:rPr>
          <w:lang w:val="fi-FI"/>
        </w:rPr>
        <w:t xml:space="preserve">en </w:t>
      </w:r>
      <w:r w:rsidRPr="00380520">
        <w:rPr>
          <w:lang w:val="fi-FI"/>
        </w:rPr>
        <w:t>on</w:t>
      </w:r>
      <w:r>
        <w:rPr>
          <w:lang w:val="fi-FI"/>
        </w:rPr>
        <w:t xml:space="preserve"> tärkeää:</w:t>
      </w:r>
      <w:r>
        <w:rPr>
          <w:lang w:val="fi-FI"/>
        </w:rPr>
        <w:br/>
      </w:r>
      <w:r w:rsidRPr="00380520">
        <w:rPr>
          <w:lang w:val="fi-FI"/>
        </w:rPr>
        <w:t>1. Jotta edustaisimme ni</w:t>
      </w:r>
      <w:r>
        <w:rPr>
          <w:lang w:val="fi-FI"/>
        </w:rPr>
        <w:t>itä, joita luulemme edustavamme</w:t>
      </w:r>
      <w:r>
        <w:rPr>
          <w:lang w:val="fi-FI"/>
        </w:rPr>
        <w:br/>
      </w:r>
      <w:r w:rsidRPr="00380520">
        <w:rPr>
          <w:lang w:val="fi-FI"/>
        </w:rPr>
        <w:t>2. Jott</w:t>
      </w:r>
      <w:r>
        <w:rPr>
          <w:lang w:val="fi-FI"/>
        </w:rPr>
        <w:t>a saisimme uusia ihmisiä mukaan</w:t>
      </w:r>
      <w:r>
        <w:rPr>
          <w:lang w:val="fi-FI"/>
        </w:rPr>
        <w:br/>
      </w:r>
      <w:r w:rsidRPr="00380520">
        <w:rPr>
          <w:lang w:val="fi-FI"/>
        </w:rPr>
        <w:t xml:space="preserve">3. </w:t>
      </w:r>
      <w:r>
        <w:rPr>
          <w:lang w:val="fi-FI"/>
        </w:rPr>
        <w:t>Jotta järjestömme toimisi hyvin</w:t>
      </w:r>
      <w:r>
        <w:rPr>
          <w:lang w:val="fi-FI"/>
        </w:rPr>
        <w:br/>
      </w:r>
      <w:r w:rsidRPr="00380520">
        <w:rPr>
          <w:lang w:val="fi-FI"/>
        </w:rPr>
        <w:t>4. Jotta järjestömme imago ja talous l</w:t>
      </w:r>
      <w:r>
        <w:rPr>
          <w:lang w:val="fi-FI"/>
        </w:rPr>
        <w:t>epäisivät vakaalla arvopohjalla</w:t>
      </w:r>
      <w:r>
        <w:rPr>
          <w:lang w:val="fi-FI"/>
        </w:rPr>
        <w:br/>
      </w:r>
      <w:r w:rsidRPr="00380520">
        <w:rPr>
          <w:lang w:val="fi-FI"/>
        </w:rPr>
        <w:t>5. Jotta kaikki vois</w:t>
      </w:r>
      <w:r>
        <w:rPr>
          <w:lang w:val="fi-FI"/>
        </w:rPr>
        <w:t>ivat olla ylpeitä järjestöstään</w:t>
      </w:r>
      <w:r>
        <w:rPr>
          <w:lang w:val="fi-FI"/>
        </w:rPr>
        <w:br/>
      </w:r>
      <w:r w:rsidRPr="00380520">
        <w:rPr>
          <w:lang w:val="fi-FI"/>
        </w:rPr>
        <w:t>6. Jotta järjestömme toimii eettisesti oikein.</w:t>
      </w:r>
    </w:p>
    <w:p w:rsidR="00380520" w:rsidRPr="00380520" w:rsidRDefault="00380520" w:rsidP="00380520">
      <w:pPr>
        <w:rPr>
          <w:lang w:val="fi-FI"/>
        </w:rPr>
      </w:pPr>
      <w:r w:rsidRPr="00380520">
        <w:rPr>
          <w:lang w:val="fi-FI"/>
        </w:rPr>
        <w:t xml:space="preserve">Yhdenvertaisuussuunnittelu tukee hyvää hallintoa </w:t>
      </w:r>
      <w:r>
        <w:rPr>
          <w:lang w:val="fi-FI"/>
        </w:rPr>
        <w:t xml:space="preserve">sekä henkilöstön ja palveluiden kehittämistä. </w:t>
      </w:r>
      <w:r w:rsidRPr="00380520">
        <w:rPr>
          <w:lang w:val="fi-FI"/>
        </w:rPr>
        <w:t>Yhdenvertaisuussuunnittelulla lisätään organisaation kykyä tun</w:t>
      </w:r>
      <w:r>
        <w:rPr>
          <w:lang w:val="fi-FI"/>
        </w:rPr>
        <w:t xml:space="preserve">nistaa ja </w:t>
      </w:r>
      <w:r w:rsidRPr="00380520">
        <w:rPr>
          <w:lang w:val="fi-FI"/>
        </w:rPr>
        <w:t xml:space="preserve">kehittää oman toiminnan </w:t>
      </w:r>
      <w:r w:rsidRPr="00380520">
        <w:rPr>
          <w:lang w:val="fi-FI"/>
        </w:rPr>
        <w:lastRenderedPageBreak/>
        <w:t>yhdenvertaisuut</w:t>
      </w:r>
      <w:r>
        <w:rPr>
          <w:lang w:val="fi-FI"/>
        </w:rPr>
        <w:t xml:space="preserve">ta. Yhdenvertaisuussuunnitelman </w:t>
      </w:r>
      <w:r w:rsidRPr="00380520">
        <w:rPr>
          <w:lang w:val="fi-FI"/>
        </w:rPr>
        <w:t>mukaisella toiminnalla edistetään kaikkien toiminn</w:t>
      </w:r>
      <w:r>
        <w:rPr>
          <w:lang w:val="fi-FI"/>
        </w:rPr>
        <w:t xml:space="preserve">assa mukana olevien henkilöiden </w:t>
      </w:r>
      <w:r w:rsidRPr="00380520">
        <w:rPr>
          <w:lang w:val="fi-FI"/>
        </w:rPr>
        <w:t>eli palveluiden käyttäjien, työntekijöiden ja työnhakijoiden yhdenvertaisuutta.</w:t>
      </w:r>
    </w:p>
    <w:p w:rsidR="00380520" w:rsidRDefault="00380520" w:rsidP="00380520">
      <w:pPr>
        <w:rPr>
          <w:lang w:val="fi-FI"/>
        </w:rPr>
      </w:pPr>
      <w:r w:rsidRPr="00380520">
        <w:rPr>
          <w:lang w:val="fi-FI"/>
        </w:rPr>
        <w:t xml:space="preserve">Yhdenvertaisuussuunnitelmassa kuvataan, miten </w:t>
      </w:r>
      <w:r>
        <w:rPr>
          <w:lang w:val="fi-FI"/>
        </w:rPr>
        <w:t xml:space="preserve">edistetään yhdenvertaisuutta ja </w:t>
      </w:r>
      <w:r w:rsidRPr="00380520">
        <w:rPr>
          <w:lang w:val="fi-FI"/>
        </w:rPr>
        <w:t>miten puututaan syrjintään. Yhdenvertaisuussuunnitte</w:t>
      </w:r>
      <w:r>
        <w:rPr>
          <w:lang w:val="fi-FI"/>
        </w:rPr>
        <w:t xml:space="preserve">lun tavoitteena on 1) syrjinnän </w:t>
      </w:r>
      <w:r w:rsidRPr="00380520">
        <w:rPr>
          <w:lang w:val="fi-FI"/>
        </w:rPr>
        <w:t xml:space="preserve">tunnistaminen, 2) toiminnan ja käytäntöjen arviointi </w:t>
      </w:r>
      <w:r>
        <w:rPr>
          <w:lang w:val="fi-FI"/>
        </w:rPr>
        <w:t xml:space="preserve">ja 3) edistävien toimenpiteiden </w:t>
      </w:r>
      <w:r w:rsidRPr="00380520">
        <w:rPr>
          <w:lang w:val="fi-FI"/>
        </w:rPr>
        <w:t>toteuttaminen ja osall</w:t>
      </w:r>
      <w:r>
        <w:rPr>
          <w:lang w:val="fi-FI"/>
        </w:rPr>
        <w:t xml:space="preserve">isuuden lisääminen. </w:t>
      </w:r>
      <w:r w:rsidRPr="00380520">
        <w:rPr>
          <w:lang w:val="fi-FI"/>
        </w:rPr>
        <w:t>Suunnite</w:t>
      </w:r>
      <w:r>
        <w:rPr>
          <w:lang w:val="fi-FI"/>
        </w:rPr>
        <w:t xml:space="preserve">lmassa tarkasteltavia toiminnan </w:t>
      </w:r>
      <w:r w:rsidRPr="00380520">
        <w:rPr>
          <w:lang w:val="fi-FI"/>
        </w:rPr>
        <w:t>osa-alueita ovat työyhteisötasolla johtaminen ja henk</w:t>
      </w:r>
      <w:r>
        <w:rPr>
          <w:lang w:val="fi-FI"/>
        </w:rPr>
        <w:t xml:space="preserve">ilöstöpolitiikka sekä järjestön </w:t>
      </w:r>
      <w:r w:rsidRPr="00380520">
        <w:rPr>
          <w:lang w:val="fi-FI"/>
        </w:rPr>
        <w:t>toiminnan tasolla esimerkiksi saavutettavuus, jäsenten hankinta, viestintä ja koulutus.</w:t>
      </w:r>
    </w:p>
    <w:p w:rsidR="00380520" w:rsidRDefault="00424035" w:rsidP="00424035">
      <w:pPr>
        <w:pStyle w:val="Otsikko2"/>
      </w:pPr>
      <w:bookmarkStart w:id="2" w:name="_Toc462059766"/>
      <w:r>
        <w:t>1.2 Yhdenvertaisuuteen liittyviä t</w:t>
      </w:r>
      <w:r w:rsidR="00380520">
        <w:t>ermejä</w:t>
      </w:r>
      <w:bookmarkEnd w:id="2"/>
    </w:p>
    <w:p w:rsidR="00864653" w:rsidRPr="00864653" w:rsidRDefault="00864653" w:rsidP="00864653">
      <w:pPr>
        <w:pStyle w:val="Otsikko3"/>
      </w:pPr>
      <w:bookmarkStart w:id="3" w:name="_Toc462059767"/>
      <w:r>
        <w:t>1.2.1 Yhdenvertaisuus</w:t>
      </w:r>
      <w:bookmarkEnd w:id="3"/>
    </w:p>
    <w:p w:rsidR="00380520" w:rsidRDefault="00380520" w:rsidP="00380520">
      <w:r w:rsidRPr="00864653">
        <w:t>Yhdenvertaisuudella</w:t>
      </w:r>
      <w:r>
        <w:t xml:space="preserve"> tarkoitetaan sitä, että ka</w:t>
      </w:r>
      <w:r w:rsidR="00FF6D6D">
        <w:t xml:space="preserve">ikki ihmiset ovat samanarvoisia </w:t>
      </w:r>
      <w:r>
        <w:t>riippumatta heidän sukupuolestaan, iästään, etnisestä t</w:t>
      </w:r>
      <w:r w:rsidR="00FF6D6D">
        <w:t xml:space="preserve">ai kansallisesta alkuperästään, </w:t>
      </w:r>
      <w:r>
        <w:t>kansalaisuudestaan, kielestään, uskonnostaan ja vakaumuk</w:t>
      </w:r>
      <w:r w:rsidR="00FF6D6D">
        <w:t xml:space="preserve">sestaan, mielipiteestään, </w:t>
      </w:r>
      <w:r>
        <w:t>vammastaan, terveydentilastaan, seksuaalisest</w:t>
      </w:r>
      <w:r w:rsidR="00FF6D6D">
        <w:t xml:space="preserve">a suuntautumisestaan tai muusta </w:t>
      </w:r>
      <w:r>
        <w:t>henkilöön liittyvästä syystä. Oikeudenmukaisessa yht</w:t>
      </w:r>
      <w:r w:rsidR="00FF6D6D">
        <w:t xml:space="preserve">eiskunnassa henkilöön liittyvät </w:t>
      </w:r>
      <w:r>
        <w:t>tekijät, kuten syntyperä tai ihonväri, eivät saisi vaikuttaa ihmisten</w:t>
      </w:r>
      <w:r w:rsidR="00FF6D6D">
        <w:t xml:space="preserve"> mahdollisuuksiin </w:t>
      </w:r>
      <w:r>
        <w:t>päästä koulutukseen, saada työtä ja erilaisia pal</w:t>
      </w:r>
      <w:r w:rsidR="00FF6D6D">
        <w:t xml:space="preserve">veluja – perusoikeudet kuuluvat </w:t>
      </w:r>
      <w:r>
        <w:t xml:space="preserve">kaikille. Suomen perustuslaissa yhdenvertaisuuden </w:t>
      </w:r>
      <w:r w:rsidR="00FF6D6D">
        <w:t xml:space="preserve">periaate viittaa sekä syrjinnän </w:t>
      </w:r>
      <w:r>
        <w:t xml:space="preserve">kieltoon että ihmisten </w:t>
      </w:r>
      <w:r w:rsidR="00FF6D6D">
        <w:t xml:space="preserve">yhdenvertaisuuteen lain edessä. Yhdenvertaisuuslaki, rikoslaki, </w:t>
      </w:r>
      <w:r>
        <w:t>tasa-arvolaki ja työlainsäädäntö (mm. työturvallisuuslaki, työsopimuslaki, valtion</w:t>
      </w:r>
      <w:r w:rsidR="00FF6D6D">
        <w:t xml:space="preserve"> </w:t>
      </w:r>
      <w:r>
        <w:t>virkamieslaki ja kunnallisista viranhaltijoista annettu laki</w:t>
      </w:r>
      <w:r w:rsidR="00FF6D6D">
        <w:t xml:space="preserve">) tarkentavat syrjinnän kieltoa </w:t>
      </w:r>
      <w:r>
        <w:t>eri elämänalueilla. (Sisäasianministeriö 2010.)</w:t>
      </w:r>
    </w:p>
    <w:p w:rsidR="00864653" w:rsidRDefault="00864653" w:rsidP="00864653">
      <w:pPr>
        <w:pStyle w:val="Otsikko3"/>
      </w:pPr>
      <w:bookmarkStart w:id="4" w:name="_Toc462059768"/>
      <w:r>
        <w:t>1.2.2 Syrjintä</w:t>
      </w:r>
      <w:bookmarkEnd w:id="4"/>
    </w:p>
    <w:p w:rsidR="00380520" w:rsidRDefault="00380520" w:rsidP="00380520">
      <w:r w:rsidRPr="00864653">
        <w:t xml:space="preserve">Syrjintä </w:t>
      </w:r>
      <w:r>
        <w:t>on ihmisten eriarvoista kohtelua sillä peruste</w:t>
      </w:r>
      <w:r w:rsidR="00FF6D6D">
        <w:t xml:space="preserve">ella, että he kuuluvat tiettyyn </w:t>
      </w:r>
      <w:r>
        <w:t xml:space="preserve">ryhmään, esimerkiksi ovat maahanmuuttajia tai </w:t>
      </w:r>
      <w:r w:rsidR="00FF6D6D">
        <w:t xml:space="preserve">kuuluvat seksuaalivähemmistöön. </w:t>
      </w:r>
      <w:r>
        <w:t>Syrjintää voi olla yksittäinen teko tai se voi olla s</w:t>
      </w:r>
      <w:r w:rsidR="00FF6D6D">
        <w:t xml:space="preserve">eurausta epäoikeudenmukaisuutta </w:t>
      </w:r>
      <w:r>
        <w:t>tuottavista käytännöistä tai säännöistä. Välillisenä</w:t>
      </w:r>
      <w:r w:rsidR="00FF6D6D">
        <w:t xml:space="preserve"> syrjintänä pidetään sitä, että </w:t>
      </w:r>
      <w:r>
        <w:t>näennäisen neutraali kohtelu tai käytäntö j</w:t>
      </w:r>
      <w:r w:rsidR="00FF6D6D">
        <w:t xml:space="preserve">ohtaa syrjiviin lopputuloksiin. </w:t>
      </w:r>
      <w:r>
        <w:t>(Yhdenvertaisuuslaki)</w:t>
      </w:r>
    </w:p>
    <w:p w:rsidR="00864653" w:rsidRDefault="00864653" w:rsidP="00864653">
      <w:pPr>
        <w:pStyle w:val="Otsikko3"/>
      </w:pPr>
      <w:bookmarkStart w:id="5" w:name="_Toc462059769"/>
      <w:r>
        <w:t>1.2.3 Muodollinen yhdenvertaisuus</w:t>
      </w:r>
      <w:bookmarkEnd w:id="5"/>
    </w:p>
    <w:p w:rsidR="00380520" w:rsidRDefault="00380520" w:rsidP="00380520">
      <w:r>
        <w:t>Perustuslaki kieltää ihmisten asettamisen erilais</w:t>
      </w:r>
      <w:r w:rsidR="00FF6D6D">
        <w:t xml:space="preserve">een asemaan ilman hyväksyttävää </w:t>
      </w:r>
      <w:r>
        <w:t xml:space="preserve">perustetta. </w:t>
      </w:r>
      <w:r w:rsidRPr="00864653">
        <w:t>Muodollisen yhdenvertaisuuden</w:t>
      </w:r>
      <w:r>
        <w:t xml:space="preserve"> tot</w:t>
      </w:r>
      <w:r w:rsidR="00AF280B">
        <w:t xml:space="preserve">eutuminen tarkoittaa sitä, että </w:t>
      </w:r>
      <w:r>
        <w:t>samanlaisessa tapauksessa ihmisiä tulee kohdel</w:t>
      </w:r>
      <w:r w:rsidR="00AF280B">
        <w:t xml:space="preserve">la samalla tavoin. Tasapuolinen </w:t>
      </w:r>
      <w:r>
        <w:t>kohtelu on tärkeä hallinnon oikeusperiaate. H</w:t>
      </w:r>
      <w:r w:rsidR="00AF280B">
        <w:t xml:space="preserve">allintolain mukaan viranomaisen </w:t>
      </w:r>
      <w:r>
        <w:t>toimien on oltava puolueettomia ja oikeassa su</w:t>
      </w:r>
      <w:r w:rsidR="00AF280B">
        <w:t xml:space="preserve">hteessa tavoiteltuun päämäärään </w:t>
      </w:r>
      <w:r>
        <w:t>nähden. Myös työsopimuslaki velvoittaa työnantajia kohtelemaan kaikkia</w:t>
      </w:r>
      <w:r w:rsidR="00AF280B">
        <w:t xml:space="preserve"> </w:t>
      </w:r>
      <w:r>
        <w:t>työntekijöitään tasapuolisesti. (Sisäasiainministeriö 2010.)</w:t>
      </w:r>
    </w:p>
    <w:p w:rsidR="00864653" w:rsidRDefault="00864653" w:rsidP="00864653">
      <w:pPr>
        <w:pStyle w:val="Otsikko3"/>
      </w:pPr>
      <w:bookmarkStart w:id="6" w:name="_Toc462059770"/>
      <w:r>
        <w:t>1.2.4 Tosiasiallinen yhdenvertaisuus</w:t>
      </w:r>
      <w:bookmarkEnd w:id="6"/>
    </w:p>
    <w:p w:rsidR="00380520" w:rsidRDefault="00380520" w:rsidP="00380520">
      <w:r>
        <w:t>Samanlainen kohtelu ei aina kuitenkaan takaa yhdenv</w:t>
      </w:r>
      <w:r w:rsidR="00AF280B">
        <w:t xml:space="preserve">ertaisuuden toteutumista, sillä </w:t>
      </w:r>
      <w:r>
        <w:t xml:space="preserve">ihmisten lähtökohdat ja mahdollisuudet ovat erilaiset. </w:t>
      </w:r>
      <w:r w:rsidRPr="00864653">
        <w:t>Tosiasiallinen</w:t>
      </w:r>
      <w:r w:rsidR="00AF280B" w:rsidRPr="00864653">
        <w:t xml:space="preserve"> </w:t>
      </w:r>
      <w:r w:rsidRPr="00864653">
        <w:t>yhdenvertaisuuden</w:t>
      </w:r>
      <w:r>
        <w:t xml:space="preserve"> toteuttaminen edellyttää yhtei</w:t>
      </w:r>
      <w:r w:rsidR="00AF280B">
        <w:t xml:space="preserve">skunnassa esiintyvän syrjintään </w:t>
      </w:r>
      <w:r>
        <w:t>perustuvan eriarvoisuuden aktiivista poistamist</w:t>
      </w:r>
      <w:r w:rsidR="00AF280B">
        <w:t xml:space="preserve">a. Yhdenvertaisuuden aktiivinen </w:t>
      </w:r>
      <w:r>
        <w:t>edistäminen voi merkitä poikkeamista samanlaisen kohtelun periaattee</w:t>
      </w:r>
      <w:r w:rsidR="00AF280B">
        <w:t xml:space="preserve">sta, jotta </w:t>
      </w:r>
      <w:r>
        <w:t>heikommassa asemassa olevien ryhmien tosiasialli</w:t>
      </w:r>
      <w:r w:rsidR="00AF280B">
        <w:t xml:space="preserve">nen yhdenvertaisuus toteutuisi. </w:t>
      </w:r>
      <w:r>
        <w:t>Tosiasiallisen yhdenvertaisuuden edistäminen edellyt</w:t>
      </w:r>
      <w:r w:rsidR="00AF280B">
        <w:t xml:space="preserve">tää myös välilliseen syrjintään </w:t>
      </w:r>
      <w:r>
        <w:t>puuttumista. (Sisäasiainministeriö 2010.)</w:t>
      </w:r>
    </w:p>
    <w:p w:rsidR="00864653" w:rsidRDefault="00864653" w:rsidP="00864653">
      <w:pPr>
        <w:pStyle w:val="Otsikko3"/>
      </w:pPr>
      <w:bookmarkStart w:id="7" w:name="_Toc462059771"/>
      <w:r>
        <w:t>1.2.5 Positiivinen erityiskohtelu</w:t>
      </w:r>
      <w:bookmarkEnd w:id="7"/>
    </w:p>
    <w:p w:rsidR="00380520" w:rsidRDefault="00380520" w:rsidP="00380520">
      <w:r w:rsidRPr="00864653">
        <w:t>Positiivinen erityiskohtelu</w:t>
      </w:r>
      <w:r>
        <w:t xml:space="preserve"> tarkoittaa tietyn syrji</w:t>
      </w:r>
      <w:r w:rsidR="00AF280B">
        <w:t xml:space="preserve">nnälle alttiin ryhmän asemaa ja </w:t>
      </w:r>
      <w:r>
        <w:t>olosuhteita parantavia erityistoimenpiteitä,</w:t>
      </w:r>
      <w:r w:rsidR="00AF280B">
        <w:t xml:space="preserve"> jotka tähtäävät tosiasiallisen </w:t>
      </w:r>
      <w:r>
        <w:t>yhdenvertaisuuden turvaamiseen eivätkä asteelt</w:t>
      </w:r>
      <w:r w:rsidR="00AF280B">
        <w:t xml:space="preserve">aan muodostu toisia syrjiviksi. </w:t>
      </w:r>
      <w:r>
        <w:t>Yhdenvertaisuuslain mukaan positiivisen erityiskohtelun on</w:t>
      </w:r>
      <w:r w:rsidR="00AF280B">
        <w:t xml:space="preserve"> oltava pyrityn </w:t>
      </w:r>
      <w:r w:rsidR="00AF280B">
        <w:lastRenderedPageBreak/>
        <w:t xml:space="preserve">tavoitteen </w:t>
      </w:r>
      <w:r>
        <w:t>kannalta oikeasuhtaista. Suppeassa tarkastelussa p</w:t>
      </w:r>
      <w:r w:rsidR="00AF280B">
        <w:t xml:space="preserve">ositiivisella erityiskohtelulla </w:t>
      </w:r>
      <w:r>
        <w:t>tarkoitetaan määräaikaiseksi suunniteltuja rekry</w:t>
      </w:r>
      <w:r w:rsidR="00AF280B">
        <w:t xml:space="preserve">tointiin, uralla etenemiseen ja </w:t>
      </w:r>
      <w:r>
        <w:t>oppilasvalintoihin liittyviä toimenpiteitä, joilla lisätään aliedus</w:t>
      </w:r>
      <w:r w:rsidR="00AF280B">
        <w:t xml:space="preserve">tettujen ryhmien </w:t>
      </w:r>
      <w:r>
        <w:t xml:space="preserve">osuutta työpaikoilla, eri henkilöstöryhmissä </w:t>
      </w:r>
      <w:r w:rsidR="00AF280B">
        <w:t xml:space="preserve">ja oppilaitoksissa. Laajemmassa </w:t>
      </w:r>
      <w:r>
        <w:t>tarkastelussa positiivisella erityiskohtelulla tarkoitetaa</w:t>
      </w:r>
      <w:r w:rsidR="00AF280B">
        <w:t xml:space="preserve">n toimenpiteitä, joilla tuetaan </w:t>
      </w:r>
      <w:r>
        <w:t>eri ryhmien tosiasiallista yhdenvertaisuutta ja osallistumismahdollisuuk</w:t>
      </w:r>
      <w:r w:rsidR="00AF280B">
        <w:t xml:space="preserve">sia eri </w:t>
      </w:r>
      <w:r>
        <w:t>elämänalueilla; mm. tulkkauksen ja erikielisten tiedo</w:t>
      </w:r>
      <w:r w:rsidR="00AF280B">
        <w:t xml:space="preserve">tusmateriaalien käyttö huonosti </w:t>
      </w:r>
      <w:r>
        <w:t>suomea puhuvien henkilöiden kanssa asioitaes</w:t>
      </w:r>
      <w:r w:rsidR="00AF280B">
        <w:t xml:space="preserve">sa ovat esimerkkejä tällaisista </w:t>
      </w:r>
      <w:r>
        <w:t>toimenpiteistä. (Sisäasiainministeriö 2010.)</w:t>
      </w:r>
    </w:p>
    <w:p w:rsidR="00864653" w:rsidRDefault="00864653" w:rsidP="00864653">
      <w:pPr>
        <w:pStyle w:val="Otsikko3"/>
      </w:pPr>
      <w:bookmarkStart w:id="8" w:name="_Toc462059772"/>
      <w:r>
        <w:t>1.2.6 Kohtuullinen mukauttaminen</w:t>
      </w:r>
      <w:bookmarkEnd w:id="8"/>
    </w:p>
    <w:p w:rsidR="00380520" w:rsidRDefault="00380520" w:rsidP="00380520">
      <w:r w:rsidRPr="00864653">
        <w:t>Kohtuullinen mukauttaminen</w:t>
      </w:r>
      <w:r>
        <w:t xml:space="preserve"> tarkoittaa yksi</w:t>
      </w:r>
      <w:r w:rsidR="00AF280B">
        <w:t xml:space="preserve">ttäistapauksessa toteutettavia </w:t>
      </w:r>
      <w:r>
        <w:t xml:space="preserve">tarpeellisia ja asianmukaisia muutoksia ja järjestelyjä, </w:t>
      </w:r>
      <w:r w:rsidR="00AF280B">
        <w:t xml:space="preserve">joilla ei aiheuteta suhteetonta </w:t>
      </w:r>
      <w:r>
        <w:t>rasitetta esimerkiksi työnantajalle tai koulutuksen järjes</w:t>
      </w:r>
      <w:r w:rsidR="00AF280B">
        <w:t xml:space="preserve">täjälle, ja joilla varmistetaan </w:t>
      </w:r>
      <w:r>
        <w:t>mm. vammaisten henkilöiden mahdollisuus nauttia tai</w:t>
      </w:r>
      <w:r w:rsidR="00AF280B">
        <w:t xml:space="preserve"> käyttää kaikkia ihmisoikeuksia </w:t>
      </w:r>
      <w:r>
        <w:t>ja perusvapauksia yhdenvertaisesti muiden kanssa. (Sisäasiainministeriö 2010.)</w:t>
      </w:r>
    </w:p>
    <w:p w:rsidR="00864653" w:rsidRDefault="00864653" w:rsidP="00864653">
      <w:pPr>
        <w:pStyle w:val="Otsikko3"/>
      </w:pPr>
      <w:bookmarkStart w:id="9" w:name="_Toc462059773"/>
      <w:r>
        <w:t>1.2.7 Esteettömyys</w:t>
      </w:r>
      <w:bookmarkEnd w:id="9"/>
    </w:p>
    <w:p w:rsidR="00AF280B" w:rsidRDefault="00AF280B" w:rsidP="00AF280B">
      <w:r w:rsidRPr="00864653">
        <w:t>Esteettömyydellä</w:t>
      </w:r>
      <w:r>
        <w:t xml:space="preserve"> tarkoitetaan rakennetun ympäristön toimivuutta sekä palveluiden ja viestinnän saavutettavuutta kaikkien käyttäjien kannalta. Fyysisen esteettömyyden lisäksi esteettömyys voi olla sosiaalista, taloudellista tai tiedonsaannin esteettömyyttä. (Sisäasiainministeriö 2012.)</w:t>
      </w:r>
    </w:p>
    <w:p w:rsidR="00864653" w:rsidRDefault="00864653" w:rsidP="00864653">
      <w:pPr>
        <w:pStyle w:val="Otsikko3"/>
      </w:pPr>
      <w:bookmarkStart w:id="10" w:name="_Toc462059774"/>
      <w:r>
        <w:t>1.2.8 Suvaitsevaisuus</w:t>
      </w:r>
      <w:bookmarkEnd w:id="10"/>
    </w:p>
    <w:p w:rsidR="00AF280B" w:rsidRDefault="00AF280B" w:rsidP="00AF280B">
      <w:r>
        <w:t xml:space="preserve">Unesco määrittelee </w:t>
      </w:r>
      <w:r w:rsidRPr="00864653">
        <w:t>suvaitsevaisuuden</w:t>
      </w:r>
      <w:r>
        <w:t xml:space="preserve"> seuraavasti</w:t>
      </w:r>
      <w:proofErr w:type="gramStart"/>
      <w:r>
        <w:t>: ”Ihmisoikeuksien</w:t>
      </w:r>
      <w:proofErr w:type="gramEnd"/>
      <w:r>
        <w:t xml:space="preserve"> kunnioittamisen periaatteen mukaisesti suvaitsevaisuuden osoittaminen ei merkitse yhteiskunnallisen epäoikeudenmukaisuuden sietämistä eikä omasta vakaumuksesta luopumista eikä sen heikentämistä. Se merkitsee sitä, että ihminen saa vapaasti pitää kiinni vakaumuksestaan ja hyväksyy sen, että toiset pitävät kiinni omastaan.” (Sisäministeriö 2014.)</w:t>
      </w:r>
    </w:p>
    <w:p w:rsidR="00864653" w:rsidRDefault="00864653" w:rsidP="00864653">
      <w:pPr>
        <w:pStyle w:val="Otsikko3"/>
      </w:pPr>
      <w:bookmarkStart w:id="11" w:name="_Toc462059775"/>
      <w:r>
        <w:t>1.2.9 Monimuotoisuus</w:t>
      </w:r>
      <w:bookmarkEnd w:id="11"/>
    </w:p>
    <w:p w:rsidR="00AF280B" w:rsidRDefault="00AF280B" w:rsidP="00AF280B">
      <w:r w:rsidRPr="00864653">
        <w:t>Monimuotoisuudella</w:t>
      </w:r>
      <w:r>
        <w:t xml:space="preserve"> tarkoitetaan ihmisten moninaisuutta ja moniarvoisuutta. Ihmiset ovat eri-ikäisiä ja edustavat jotain sukupuolta, jokaisella on etninen tai kansallinen alkuperänsä ja kielensä, uskontonsa tai vakaumuksensa, terveydentilansa ja seksuaalinen suuntautumisensa. Monimuotoisuus ilmenee myös eroina näkökulmissa, käsityksissä, osaamisessa, toiminnassa tai tarpeissa ja odotuksissa. (Sisäministeriö 2014.)</w:t>
      </w:r>
    </w:p>
    <w:p w:rsidR="00864653" w:rsidRDefault="00864653" w:rsidP="00864653">
      <w:pPr>
        <w:pStyle w:val="Otsikko3"/>
      </w:pPr>
      <w:bookmarkStart w:id="12" w:name="_Toc462059776"/>
      <w:r>
        <w:t>1.2.10 Normatiivisuus</w:t>
      </w:r>
      <w:bookmarkEnd w:id="12"/>
    </w:p>
    <w:p w:rsidR="00380520" w:rsidRDefault="00AF280B" w:rsidP="00AF280B">
      <w:r w:rsidRPr="00864653">
        <w:t>Normatiivisuus</w:t>
      </w:r>
      <w:r>
        <w:t xml:space="preserve"> esimerkiksi tapahtumanjärjestämisessä tarkoittaa sitä, että kaikkien ajatellaan pystyvän osallistumaan samalla tavalla tapahtumaan. Järjestön toimintaa ohjaa </w:t>
      </w:r>
      <w:proofErr w:type="gramStart"/>
      <w:r>
        <w:t>helposti ”normaaliuden</w:t>
      </w:r>
      <w:proofErr w:type="gramEnd"/>
      <w:r>
        <w:t xml:space="preserve"> periaate” tai valtaväestöolettamus. Kuitenkin järjestöissä toimii toimintakyvyltään, henkilökohtaisilta ominaisuuksiltaan ja taustaltaan erilaisia ihmisiä. (Sisäasiainministeriö 2012.)</w:t>
      </w:r>
    </w:p>
    <w:p w:rsidR="00424035" w:rsidRPr="00380520" w:rsidRDefault="00424035" w:rsidP="00424035">
      <w:pPr>
        <w:pStyle w:val="Otsikko2"/>
        <w:rPr>
          <w:lang w:val="fi-FI"/>
        </w:rPr>
      </w:pPr>
      <w:bookmarkStart w:id="13" w:name="_Toc462059777"/>
      <w:r>
        <w:rPr>
          <w:lang w:val="fi-FI"/>
        </w:rPr>
        <w:t>1.3 Reilu peli</w:t>
      </w:r>
      <w:bookmarkEnd w:id="13"/>
    </w:p>
    <w:p w:rsidR="00424035" w:rsidRDefault="00424035" w:rsidP="00424035">
      <w:r w:rsidRPr="00B60D83">
        <w:t xml:space="preserve">Jokaisen tasavertainen mahdollisuus liikuntaan ja urheiluun on Reilun Pelin keskeinen periaate. </w:t>
      </w:r>
      <w:r>
        <w:t>Jäsenjärjestöt ovat hyväksyneet Reilu Peli -asiakirjan Valon syyskokouksessa 30.11.2013. Reilun Pelin ensimmäinen periaate sisältää keskeiset tavoitteet ja toimintatavat yhdenvertaisuuden toteutumiseksi.</w:t>
      </w:r>
    </w:p>
    <w:p w:rsidR="00424035" w:rsidRPr="00731E33" w:rsidRDefault="00424035" w:rsidP="00424035">
      <w:pPr>
        <w:rPr>
          <w:b/>
          <w:i/>
        </w:rPr>
      </w:pPr>
      <w:r w:rsidRPr="00731E33">
        <w:rPr>
          <w:b/>
          <w:i/>
        </w:rPr>
        <w:t>Liikunta ja urheilu ovat avoimia kaikille. Tasavertaisuus, moninaisuus ja oikeudenmukaisuus ovat yhteisömme perusta. Haluamme toimia vuorovaikutteisesti kaikkien liikunnasta ja urheilusta kiinnostuneiden tahojen kanssa monimuotoisen liikuntakulttuurin kehittämiseksi.</w:t>
      </w:r>
    </w:p>
    <w:p w:rsidR="00424035" w:rsidRDefault="00424035" w:rsidP="00424035">
      <w:pPr>
        <w:rPr>
          <w:i/>
        </w:rPr>
      </w:pPr>
      <w:r w:rsidRPr="00DA052D">
        <w:rPr>
          <w:i/>
        </w:rPr>
        <w:t xml:space="preserve">Edistämme monimuotoista liikuntakulttuuria, jossa kaikkia toimijoita arvostetaan. Pyrimme kehittämään eri liikunta- ja urheilulajeja niin, että ne soveltuvat mahdollisimman monelle. Vaikutamme siihen, että </w:t>
      </w:r>
      <w:r w:rsidRPr="00DA052D">
        <w:rPr>
          <w:i/>
        </w:rPr>
        <w:lastRenderedPageBreak/>
        <w:t>liikuntaan ja urheiluun käytettävät resurssit jakautuvat oikeudenmukaisesti alueellisesti sekä eri ryhmien välillä. Emme tingi laaja-alaisesta tasa</w:t>
      </w:r>
      <w:r>
        <w:rPr>
          <w:i/>
        </w:rPr>
        <w:t>-</w:t>
      </w:r>
      <w:r w:rsidRPr="00DA052D">
        <w:rPr>
          <w:i/>
        </w:rPr>
        <w:t>arvosta. Liikuntaa ja urheilua on voitava harrastaa tulotasosta riippumatta. Pyrimme varmistamaan sen, että kaikilla on oikeus ja mahdollisuus valmennukseen ja ohjaukseen taitotasostaan ja tavoitteistaan riippumatta. Vaikutamme siihen, että liikuntapaikat ja yhdyskuntasuunnittelu tukevat liikunnallista elämäntapaa. Liikunnan olosuhdetyössä korostamme muun muassa turvallisuutta ja saavutettavuutta. Kunnioitamme yksilön oikeuksia. Kiusaaminen, syrjiminen, haukkuminen, nimittely, fyysinen ja henkinen väkivalta, alistaminen, vähättely, seksuaalinen ja sukupuolinen ahdistelu sekä syrjintä ja rasismi eivät kuulu liikuntaan ja urheiluun - ei edes huumoriksi puettuna. Keskeisistä käyttäytymis- ja toimintatavoista sovitaan myös joukkue- ja seuratasolla. Näiden tapojen rikkomiselle määritellään samalla riittävät seuraamukset. Liikunnassa ja urheilussa ei tulisi olla vaiettuja asioita. Luomme omalla toiminnallamme ilmapiirin, jossa voidaan käydä avointa keskustelua vaikeistakin asioista. Yhteisössämme teemme tilaa sille, että jokainen voi vapaasti päättää ilman pakkoa tai painetta siitä, haluaako puhua omista henkilökohtaisista asioista, kuten seksuaalisesta suuntautumisestaan, vai haluaako mieluummin olla puhumatta. Haluamme puuttua ajoissa tilanteisiin, mikäli näemme tai kuulemme jonkun joutuvan epäasiallisen käytöksen kohteeksi. Jokaisella on myös velvollisuus puolustaa tällaisen teon kohteeksi joutunutta. Kerromme selkeästi kilpailu- ja muissa säännöissä seuraamukset epäurheilijamaisesta käytöksestä. Jokaisella Valon jäsenjärjestöllä on toimintaohjeet tällaisten tilanteiden ratkomiseen omissa seuroissaan. Toiminnan kannalta olennaisimmat säännöt ja toimintaohjeet tarjoamme tarpeen mukaan eri muodossa (esim. tekstinä ja kuvina), jotta säännöt oli</w:t>
      </w:r>
      <w:r w:rsidR="00A503C9">
        <w:rPr>
          <w:i/>
        </w:rPr>
        <w:t>sivat helposti ymmärrettävissä.</w:t>
      </w:r>
    </w:p>
    <w:p w:rsidR="005F4DAD" w:rsidRPr="005F4DAD" w:rsidRDefault="005F4DAD" w:rsidP="005F4DAD">
      <w:pPr>
        <w:pStyle w:val="Otsikko1"/>
        <w:rPr>
          <w:lang w:val="fi-FI"/>
        </w:rPr>
      </w:pPr>
      <w:bookmarkStart w:id="14" w:name="_Toc462059778"/>
      <w:r>
        <w:rPr>
          <w:lang w:val="fi-FI"/>
        </w:rPr>
        <w:t>2 Yhdenvertaisuussuunnitelman laatiminen</w:t>
      </w:r>
      <w:bookmarkEnd w:id="14"/>
    </w:p>
    <w:p w:rsidR="00F4126C" w:rsidRDefault="00CA28C6" w:rsidP="005F4DAD">
      <w:pPr>
        <w:pStyle w:val="Otsikko2"/>
        <w:rPr>
          <w:rFonts w:eastAsia="Calibri"/>
        </w:rPr>
      </w:pPr>
      <w:bookmarkStart w:id="15" w:name="_Toc462059779"/>
      <w:r>
        <w:rPr>
          <w:rFonts w:eastAsia="Calibri"/>
        </w:rPr>
        <w:t>2</w:t>
      </w:r>
      <w:r w:rsidR="00F4126C">
        <w:rPr>
          <w:rFonts w:eastAsia="Calibri"/>
        </w:rPr>
        <w:t>.</w:t>
      </w:r>
      <w:r w:rsidR="005F4DAD">
        <w:rPr>
          <w:rFonts w:eastAsia="Calibri"/>
        </w:rPr>
        <w:t>1</w:t>
      </w:r>
      <w:r w:rsidR="00F4126C">
        <w:rPr>
          <w:rFonts w:eastAsia="Calibri"/>
        </w:rPr>
        <w:t xml:space="preserve"> Yhdenvertaisuussuunnitelmassa tarkasteltavat toiminnan osa-alueet</w:t>
      </w:r>
      <w:bookmarkEnd w:id="15"/>
    </w:p>
    <w:p w:rsidR="005F4DAD" w:rsidRDefault="005F4DAD" w:rsidP="005F4DAD">
      <w:pPr>
        <w:pStyle w:val="Otsikko3"/>
      </w:pPr>
      <w:bookmarkStart w:id="16" w:name="_Toc462059780"/>
      <w:r>
        <w:t>2.1.1 Yleistä</w:t>
      </w:r>
      <w:bookmarkEnd w:id="16"/>
    </w:p>
    <w:p w:rsidR="005F4DAD" w:rsidRPr="005F4DAD" w:rsidRDefault="005F4DAD" w:rsidP="005F4DAD">
      <w:r>
        <w:t>Yhdenvertaisuussuunitelman laadinnassa on huomioitu kaikki eri syrjintäperusteet: etninen alkuperä, kieli, uskonto ja vakaumus, vammaisuus, ikä, seksuaalinen suuntautuminen ja sukupuoli-identiteetti. Yhdenvertaisuussuunnitelmassa tarkastellaan Tennisliiton itse toteuttamaa toimintaa, Tennisliiton toimintaa työnantajana sekä Tennisliiton toimintatapoja syrjintätapauksissa.</w:t>
      </w:r>
    </w:p>
    <w:p w:rsidR="00F4126C" w:rsidRPr="00D51009" w:rsidRDefault="00CA28C6" w:rsidP="005F4DAD">
      <w:pPr>
        <w:pStyle w:val="Otsikko3"/>
      </w:pPr>
      <w:bookmarkStart w:id="17" w:name="_Toc462059781"/>
      <w:r>
        <w:t>2</w:t>
      </w:r>
      <w:r w:rsidR="00914F09">
        <w:t>.1</w:t>
      </w:r>
      <w:r w:rsidR="005F4DAD">
        <w:t>.2</w:t>
      </w:r>
      <w:r w:rsidR="00914F09">
        <w:t xml:space="preserve"> </w:t>
      </w:r>
      <w:r w:rsidR="00F4126C" w:rsidRPr="00D51009">
        <w:t>Viestintä</w:t>
      </w:r>
      <w:bookmarkEnd w:id="17"/>
    </w:p>
    <w:p w:rsidR="00F4126C" w:rsidRPr="00914F09" w:rsidRDefault="00F4126C" w:rsidP="00F4126C">
      <w:r w:rsidRPr="00914F09">
        <w:t xml:space="preserve">Viestinnän osalta keskeisiä kysymyksiä ovat 1) miten viestintä tavoittaa kohderyhmät ja 2) mitä sisällöt ja esittämistapa viestivät yhdenvertaisuudesta. </w:t>
      </w:r>
    </w:p>
    <w:p w:rsidR="00F4126C" w:rsidRDefault="00F4126C" w:rsidP="00FA0A69">
      <w:pPr>
        <w:pStyle w:val="Luettelokappale"/>
        <w:numPr>
          <w:ilvl w:val="0"/>
          <w:numId w:val="6"/>
        </w:numPr>
      </w:pPr>
      <w:r>
        <w:t>Yhdenvertaisuuden huomioiminen järjestön viestintästrategiassa tai –linjauksissa</w:t>
      </w:r>
    </w:p>
    <w:p w:rsidR="00F4126C" w:rsidRDefault="00F4126C" w:rsidP="00FA0A69">
      <w:pPr>
        <w:pStyle w:val="Luettelokappale"/>
        <w:numPr>
          <w:ilvl w:val="0"/>
          <w:numId w:val="6"/>
        </w:numPr>
      </w:pPr>
      <w:r>
        <w:t>Yhdenvertaisuuden ja syrjimättömyyden esille tuominen ulkoisessa viestinnässä (yhdenvertaisuusteemat säännöllisesti esillä jäsenjulkaisuissa)</w:t>
      </w:r>
    </w:p>
    <w:p w:rsidR="00F4126C" w:rsidRDefault="00F4126C" w:rsidP="00FA0A69">
      <w:pPr>
        <w:pStyle w:val="Luettelokappale"/>
        <w:numPr>
          <w:ilvl w:val="0"/>
          <w:numId w:val="6"/>
        </w:numPr>
      </w:pPr>
      <w:r>
        <w:t>Viestinnän aiheet, kuvavalinnat, kielikuvat (minkälaisia mielikuvia viestintämme synnyttää? Esim. näkyvyyden oikeudenmukainen jakautuminen tyttöjen ja poikien sekä naisten ja miesten välillä</w:t>
      </w:r>
    </w:p>
    <w:p w:rsidR="00F4126C" w:rsidRDefault="00F4126C" w:rsidP="00FA0A69">
      <w:pPr>
        <w:pStyle w:val="Luettelokappale"/>
        <w:numPr>
          <w:ilvl w:val="0"/>
          <w:numId w:val="6"/>
        </w:numPr>
      </w:pPr>
      <w:r>
        <w:t>Kieli</w:t>
      </w:r>
    </w:p>
    <w:p w:rsidR="00F4126C" w:rsidRDefault="00F4126C" w:rsidP="00FA0A69">
      <w:pPr>
        <w:pStyle w:val="Luettelokappale"/>
        <w:numPr>
          <w:ilvl w:val="0"/>
          <w:numId w:val="6"/>
        </w:numPr>
      </w:pPr>
      <w:r>
        <w:t>Tapahtuman puhujat ja esiintyjät</w:t>
      </w:r>
    </w:p>
    <w:p w:rsidR="00F4126C" w:rsidRDefault="00F4126C" w:rsidP="00FA0A69">
      <w:pPr>
        <w:pStyle w:val="Luettelokappale"/>
        <w:numPr>
          <w:ilvl w:val="0"/>
          <w:numId w:val="6"/>
        </w:numPr>
      </w:pPr>
      <w:r>
        <w:t>Yhdenvertaisen ilmapiirin luominen, kielenkäyttö (some)</w:t>
      </w:r>
    </w:p>
    <w:p w:rsidR="00F4126C" w:rsidRPr="00F75D86" w:rsidRDefault="00CA28C6" w:rsidP="005F4DAD">
      <w:pPr>
        <w:pStyle w:val="Otsikko3"/>
      </w:pPr>
      <w:bookmarkStart w:id="18" w:name="_Toc462059782"/>
      <w:r>
        <w:t>2</w:t>
      </w:r>
      <w:r w:rsidR="005F4DAD">
        <w:t>.1.3</w:t>
      </w:r>
      <w:r w:rsidR="00914F09">
        <w:t xml:space="preserve"> </w:t>
      </w:r>
      <w:r w:rsidR="00F4126C" w:rsidRPr="00F75D86">
        <w:t>Esteettömyys ja saavutettavuus</w:t>
      </w:r>
      <w:bookmarkEnd w:id="18"/>
    </w:p>
    <w:p w:rsidR="00F4126C" w:rsidRPr="00914F09" w:rsidRDefault="00F4126C" w:rsidP="00F4126C">
      <w:r w:rsidRPr="00914F09">
        <w:t>Tavoitteena taata jokaiselle sukupuolesta, iästä, terveydentilasta, vammaisuudesta tai toimintakyvystä riippumattoman mahdollisuuden toimia ja olla oma itsensä.</w:t>
      </w:r>
    </w:p>
    <w:p w:rsidR="00F4126C" w:rsidRDefault="00F4126C" w:rsidP="00FA0A69">
      <w:pPr>
        <w:pStyle w:val="Luettelokappale"/>
        <w:numPr>
          <w:ilvl w:val="0"/>
          <w:numId w:val="7"/>
        </w:numPr>
      </w:pPr>
      <w:r>
        <w:lastRenderedPageBreak/>
        <w:t>Fyysinen esteettömyys, erityisesti tilojen esteettömyys esimerkiksi kaikille avoimissa urheilutapahtumissa ja työpaikalla</w:t>
      </w:r>
    </w:p>
    <w:p w:rsidR="00F4126C" w:rsidRDefault="00F4126C" w:rsidP="00FA0A69">
      <w:pPr>
        <w:pStyle w:val="Luettelokappale"/>
        <w:numPr>
          <w:ilvl w:val="0"/>
          <w:numId w:val="7"/>
        </w:numPr>
      </w:pPr>
      <w:r>
        <w:t>Asenteet ja ilmapiiri</w:t>
      </w:r>
    </w:p>
    <w:p w:rsidR="00F4126C" w:rsidRDefault="00F4126C" w:rsidP="00FA0A69">
      <w:pPr>
        <w:pStyle w:val="Luettelokappale"/>
        <w:numPr>
          <w:ilvl w:val="0"/>
          <w:numId w:val="7"/>
        </w:numPr>
      </w:pPr>
      <w:r>
        <w:t>Käytännön syyt (kieli, kustannukset)</w:t>
      </w:r>
    </w:p>
    <w:p w:rsidR="00F4126C" w:rsidRDefault="00F4126C" w:rsidP="00FA0A69">
      <w:pPr>
        <w:pStyle w:val="Luettelokappale"/>
        <w:numPr>
          <w:ilvl w:val="0"/>
          <w:numId w:val="7"/>
        </w:numPr>
      </w:pPr>
      <w:r>
        <w:t xml:space="preserve">Tiedon ja päätöksenteon saavutettavuus </w:t>
      </w:r>
    </w:p>
    <w:p w:rsidR="00F4126C" w:rsidRPr="0023372F" w:rsidRDefault="00CA28C6" w:rsidP="005F4DAD">
      <w:pPr>
        <w:pStyle w:val="Otsikko3"/>
      </w:pPr>
      <w:bookmarkStart w:id="19" w:name="_Toc462059783"/>
      <w:r>
        <w:t>2</w:t>
      </w:r>
      <w:r w:rsidR="005F4DAD">
        <w:t>.1.3</w:t>
      </w:r>
      <w:r w:rsidR="00914F09">
        <w:t xml:space="preserve"> </w:t>
      </w:r>
      <w:r w:rsidR="00F4126C" w:rsidRPr="0023372F">
        <w:t>Osallistuminen ja vaikuttaminen</w:t>
      </w:r>
      <w:bookmarkEnd w:id="19"/>
    </w:p>
    <w:p w:rsidR="00F4126C" w:rsidRDefault="00F4126C" w:rsidP="00FA0A69">
      <w:pPr>
        <w:pStyle w:val="Luettelokappale"/>
        <w:numPr>
          <w:ilvl w:val="0"/>
          <w:numId w:val="8"/>
        </w:numPr>
      </w:pPr>
      <w:r>
        <w:t>Luottamusjohdon (ha</w:t>
      </w:r>
      <w:r w:rsidR="0000472D">
        <w:t>llitus ja toimikunnat</w:t>
      </w:r>
      <w:r>
        <w:t>)</w:t>
      </w:r>
      <w:r w:rsidRPr="00910DCB">
        <w:t xml:space="preserve"> </w:t>
      </w:r>
      <w:r>
        <w:t xml:space="preserve">jäsenten moninaisuus </w:t>
      </w:r>
    </w:p>
    <w:p w:rsidR="00F4126C" w:rsidRDefault="00F4126C" w:rsidP="00FA0A69">
      <w:pPr>
        <w:pStyle w:val="Luettelokappale"/>
        <w:numPr>
          <w:ilvl w:val="1"/>
          <w:numId w:val="8"/>
        </w:numPr>
      </w:pPr>
      <w:r>
        <w:t xml:space="preserve">tavoitteena 40 % molempia sukupuolia, </w:t>
      </w:r>
      <w:r w:rsidRPr="00F65C9C">
        <w:t>tai suhteessa jäsenten jakaumaan, kuitenkin minimissään kaksi vähemmistössä olevan sukupuolen edustajaa</w:t>
      </w:r>
      <w:r>
        <w:t xml:space="preserve"> </w:t>
      </w:r>
    </w:p>
    <w:p w:rsidR="00F4126C" w:rsidRDefault="00F4126C" w:rsidP="00FA0A69">
      <w:pPr>
        <w:pStyle w:val="Luettelokappale"/>
        <w:numPr>
          <w:ilvl w:val="1"/>
          <w:numId w:val="8"/>
        </w:numPr>
      </w:pPr>
      <w:r>
        <w:t xml:space="preserve">eri ikäisiä, eri puolilta järjestön toiminta-aluetta </w:t>
      </w:r>
    </w:p>
    <w:p w:rsidR="00F4126C" w:rsidRDefault="00F4126C" w:rsidP="00FA0A69">
      <w:pPr>
        <w:pStyle w:val="Luettelokappale"/>
        <w:numPr>
          <w:ilvl w:val="1"/>
          <w:numId w:val="8"/>
        </w:numPr>
      </w:pPr>
      <w:r>
        <w:t xml:space="preserve">ehdokasasettelun menettelytavat </w:t>
      </w:r>
    </w:p>
    <w:p w:rsidR="00F4126C" w:rsidRPr="00424035" w:rsidRDefault="00F4126C" w:rsidP="00FA0A69">
      <w:pPr>
        <w:pStyle w:val="Luettelokappale"/>
        <w:numPr>
          <w:ilvl w:val="0"/>
          <w:numId w:val="8"/>
        </w:numPr>
      </w:pPr>
      <w:r>
        <w:t>Luottamusjohdon ja operatiivisen johdon työnjako</w:t>
      </w:r>
    </w:p>
    <w:p w:rsidR="00F4126C" w:rsidRDefault="00CA28C6" w:rsidP="005F4DAD">
      <w:pPr>
        <w:pStyle w:val="Otsikko3"/>
      </w:pPr>
      <w:bookmarkStart w:id="20" w:name="_Toc462059784"/>
      <w:r>
        <w:t>2</w:t>
      </w:r>
      <w:r w:rsidR="005F4DAD">
        <w:t>.1.4</w:t>
      </w:r>
      <w:r w:rsidR="00914F09">
        <w:t xml:space="preserve"> </w:t>
      </w:r>
      <w:r w:rsidR="00F4126C" w:rsidRPr="00D51009">
        <w:t>Koulutus</w:t>
      </w:r>
      <w:bookmarkEnd w:id="20"/>
    </w:p>
    <w:p w:rsidR="00F4126C" w:rsidRPr="00914F09" w:rsidRDefault="00F4126C" w:rsidP="00F4126C">
      <w:r w:rsidRPr="00914F09">
        <w:t xml:space="preserve">Järjestön toteuttama koulutus on keskeinen väline yhdenvertaisuusajattelun jalkauttamisessa. </w:t>
      </w:r>
    </w:p>
    <w:p w:rsidR="00F4126C" w:rsidRDefault="00F4126C" w:rsidP="00FA0A69">
      <w:pPr>
        <w:pStyle w:val="Luettelokappale"/>
        <w:numPr>
          <w:ilvl w:val="0"/>
          <w:numId w:val="9"/>
        </w:numPr>
      </w:pPr>
      <w:r>
        <w:t xml:space="preserve">Yhdenvertaisuusnäkökulma mukana kaikissa järjestön koulutuksissa, kohtaamisissa ja kehitysohjelmissa: </w:t>
      </w:r>
    </w:p>
    <w:p w:rsidR="00F4126C" w:rsidRDefault="00F4126C" w:rsidP="00FA0A69">
      <w:pPr>
        <w:pStyle w:val="Luettelokappale"/>
        <w:numPr>
          <w:ilvl w:val="1"/>
          <w:numId w:val="9"/>
        </w:numPr>
      </w:pPr>
      <w:r>
        <w:t>Kouluttajakoulutus</w:t>
      </w:r>
    </w:p>
    <w:p w:rsidR="00F4126C" w:rsidRDefault="00F4126C" w:rsidP="00FA0A69">
      <w:pPr>
        <w:pStyle w:val="Luettelokappale"/>
        <w:numPr>
          <w:ilvl w:val="1"/>
          <w:numId w:val="9"/>
        </w:numPr>
      </w:pPr>
      <w:r>
        <w:t xml:space="preserve">Tuomari- ja toimitsijakoulutus: erityisesti syrjintätilanteiden tunnistaminen, puuttuminen ja raportointi </w:t>
      </w:r>
    </w:p>
    <w:p w:rsidR="00F4126C" w:rsidRDefault="00F4126C" w:rsidP="00FA0A69">
      <w:pPr>
        <w:pStyle w:val="Luettelokappale"/>
        <w:numPr>
          <w:ilvl w:val="1"/>
          <w:numId w:val="9"/>
        </w:numPr>
      </w:pPr>
      <w:r>
        <w:t>Valmentaja- ja ohjaajakoulutus</w:t>
      </w:r>
    </w:p>
    <w:p w:rsidR="00F4126C" w:rsidRDefault="00F4126C" w:rsidP="00FA0A69">
      <w:pPr>
        <w:pStyle w:val="Luettelokappale"/>
        <w:numPr>
          <w:ilvl w:val="1"/>
          <w:numId w:val="9"/>
        </w:numPr>
      </w:pPr>
      <w:r>
        <w:t>Seurakoulutus</w:t>
      </w:r>
    </w:p>
    <w:p w:rsidR="00F4126C" w:rsidRDefault="00F4126C" w:rsidP="00FA0A69">
      <w:pPr>
        <w:pStyle w:val="Luettelokappale"/>
        <w:numPr>
          <w:ilvl w:val="0"/>
          <w:numId w:val="9"/>
        </w:numPr>
      </w:pPr>
      <w:r>
        <w:t xml:space="preserve">Em. koulutusten osallistujien moninaisuus (keitä saadaan osallistumaan) ja kenelle koulutukset on suunnattu (viestintä, osallistujien rekrytointi, jne.) </w:t>
      </w:r>
    </w:p>
    <w:p w:rsidR="00F4126C" w:rsidRPr="00424035" w:rsidRDefault="00F4126C" w:rsidP="00FA0A69">
      <w:pPr>
        <w:pStyle w:val="Luettelokappale"/>
        <w:numPr>
          <w:ilvl w:val="0"/>
          <w:numId w:val="9"/>
        </w:numPr>
      </w:pPr>
      <w:r>
        <w:t>Yhdenvertaisuuden tavoite läpileikkaavasti esiin koulutussisällöissä ja -materiaaleissa (ml. kuvavalinnat, kieli, jne.)</w:t>
      </w:r>
    </w:p>
    <w:p w:rsidR="00F4126C" w:rsidRPr="00E27974" w:rsidRDefault="00CA28C6" w:rsidP="005F4DAD">
      <w:pPr>
        <w:pStyle w:val="Otsikko3"/>
      </w:pPr>
      <w:bookmarkStart w:id="21" w:name="_Toc462059785"/>
      <w:r>
        <w:t>2</w:t>
      </w:r>
      <w:r w:rsidR="005F4DAD">
        <w:t>.1.5</w:t>
      </w:r>
      <w:r w:rsidR="00914F09">
        <w:t xml:space="preserve"> </w:t>
      </w:r>
      <w:r w:rsidR="00F4126C" w:rsidRPr="00E27974">
        <w:t>Urheilutoiminta</w:t>
      </w:r>
      <w:bookmarkEnd w:id="21"/>
    </w:p>
    <w:p w:rsidR="00F4126C" w:rsidRPr="00914F09" w:rsidRDefault="00F4126C" w:rsidP="00F4126C">
      <w:r w:rsidRPr="00914F09">
        <w:t xml:space="preserve">Miten lajitoiminnan kehittäminen ja järjestelmät tukevat erilaisten ihmisten osallistumista. </w:t>
      </w:r>
    </w:p>
    <w:p w:rsidR="00F4126C" w:rsidRDefault="00F4126C" w:rsidP="00FA0A69">
      <w:pPr>
        <w:pStyle w:val="Luettelokappale"/>
        <w:numPr>
          <w:ilvl w:val="0"/>
          <w:numId w:val="10"/>
        </w:numPr>
      </w:pPr>
      <w:r>
        <w:t>Toimintaa eri ryhmille (n/m, vammaisurheilu)</w:t>
      </w:r>
    </w:p>
    <w:p w:rsidR="00F4126C" w:rsidRDefault="00F4126C" w:rsidP="00FA0A69">
      <w:pPr>
        <w:pStyle w:val="Luettelokappale"/>
        <w:numPr>
          <w:ilvl w:val="0"/>
          <w:numId w:val="10"/>
        </w:numPr>
      </w:pPr>
      <w:r>
        <w:t>Kilpailujärjestelmä, mm. toimintakyvyltään erilaisten ihmisten, eri-ikäisten ja eri sukupuolten mahdollisuus osallistua kilpailutoimintaan (esim. transsukupuolisen kilpailusarja määritteleminen kansallisessa kilpailutoiminnassa, yleiset periaatteet)</w:t>
      </w:r>
    </w:p>
    <w:p w:rsidR="00F4126C" w:rsidRDefault="00F4126C" w:rsidP="00FA0A69">
      <w:pPr>
        <w:pStyle w:val="Luettelokappale"/>
        <w:numPr>
          <w:ilvl w:val="0"/>
          <w:numId w:val="10"/>
        </w:numPr>
      </w:pPr>
      <w:r>
        <w:t>Liiton valmennusjärjestelmä, mm. taloudellisten resurssien oikeudenmukainen jakautuminen tyttöjen ja poikien sekä naisten ja miesten välillä</w:t>
      </w:r>
    </w:p>
    <w:p w:rsidR="00F4126C" w:rsidRDefault="00F4126C" w:rsidP="00FA0A69">
      <w:pPr>
        <w:pStyle w:val="Luettelokappale"/>
        <w:numPr>
          <w:ilvl w:val="0"/>
          <w:numId w:val="10"/>
        </w:numPr>
      </w:pPr>
      <w:r>
        <w:t>Kv-arvokilpailujen joukkueenjohdon valinnat (n/m)</w:t>
      </w:r>
    </w:p>
    <w:p w:rsidR="00F4126C" w:rsidRDefault="00F4126C" w:rsidP="00FA0A69">
      <w:pPr>
        <w:pStyle w:val="Luettelokappale"/>
        <w:numPr>
          <w:ilvl w:val="0"/>
          <w:numId w:val="10"/>
        </w:numPr>
      </w:pPr>
      <w:r w:rsidRPr="006B2644">
        <w:t>Tapahtumien järjestäminen</w:t>
      </w:r>
      <w:r>
        <w:t xml:space="preserve"> (viestintä, esteettömyys ja saavutettavuus, osallistujien erityistarpeet sekä moninaisuutta kunnioittava ilmapiiri)</w:t>
      </w:r>
    </w:p>
    <w:p w:rsidR="00F4126C" w:rsidRPr="00A72E49" w:rsidRDefault="00CA28C6" w:rsidP="005F4DAD">
      <w:pPr>
        <w:pStyle w:val="Otsikko3"/>
      </w:pPr>
      <w:bookmarkStart w:id="22" w:name="_Toc462059786"/>
      <w:r>
        <w:t>2</w:t>
      </w:r>
      <w:r w:rsidR="005F4DAD">
        <w:t>.1.6</w:t>
      </w:r>
      <w:r w:rsidR="00914F09">
        <w:t xml:space="preserve"> </w:t>
      </w:r>
      <w:r w:rsidR="00F4126C" w:rsidRPr="00A72E49">
        <w:t>J</w:t>
      </w:r>
      <w:r w:rsidR="00914F09">
        <w:t>ärjestö työnantajana</w:t>
      </w:r>
      <w:bookmarkEnd w:id="22"/>
    </w:p>
    <w:p w:rsidR="00F4126C" w:rsidRDefault="00F4126C" w:rsidP="00F4126C">
      <w:r>
        <w:t>Yhdenvertaisuus on otettava huomioon kaikissa henkilöstöä koskevissa päätöksissä. Työyhteisön osalta suunnitelmat on tärkeää tehd</w:t>
      </w:r>
      <w:r w:rsidR="0000472D">
        <w:t xml:space="preserve">ä tilanteen mukaisella tasolla. </w:t>
      </w:r>
      <w:r>
        <w:t xml:space="preserve">Yhdenvertaisuus tulee huomioida mm. seuraavissa tilanteissa: </w:t>
      </w:r>
    </w:p>
    <w:p w:rsidR="00F4126C" w:rsidRDefault="00F4126C" w:rsidP="00FA0A69">
      <w:pPr>
        <w:pStyle w:val="Luettelokappale"/>
        <w:numPr>
          <w:ilvl w:val="0"/>
          <w:numId w:val="11"/>
        </w:numPr>
      </w:pPr>
      <w:r w:rsidRPr="00930B46">
        <w:t>Henkilövalinnat ja rekrytointi</w:t>
      </w:r>
    </w:p>
    <w:p w:rsidR="00F4126C" w:rsidRDefault="00F4126C" w:rsidP="00FA0A69">
      <w:pPr>
        <w:pStyle w:val="Luettelokappale"/>
        <w:numPr>
          <w:ilvl w:val="0"/>
          <w:numId w:val="11"/>
        </w:numPr>
      </w:pPr>
      <w:r w:rsidRPr="00930B46">
        <w:t>Henkilöstölle tarjottava koulutus</w:t>
      </w:r>
    </w:p>
    <w:p w:rsidR="00F4126C" w:rsidRDefault="00F4126C" w:rsidP="00FA0A69">
      <w:pPr>
        <w:pStyle w:val="Luettelokappale"/>
        <w:numPr>
          <w:ilvl w:val="0"/>
          <w:numId w:val="11"/>
        </w:numPr>
      </w:pPr>
      <w:r w:rsidRPr="00930B46">
        <w:t>Palkkaus ja uralla eteneminen</w:t>
      </w:r>
    </w:p>
    <w:p w:rsidR="00F4126C" w:rsidRDefault="00F4126C" w:rsidP="00FA0A69">
      <w:pPr>
        <w:pStyle w:val="Luettelokappale"/>
        <w:numPr>
          <w:ilvl w:val="0"/>
          <w:numId w:val="11"/>
        </w:numPr>
      </w:pPr>
      <w:r w:rsidRPr="00930B46">
        <w:lastRenderedPageBreak/>
        <w:t>Perhevapaiden käyttäminen</w:t>
      </w:r>
    </w:p>
    <w:p w:rsidR="00F4126C" w:rsidRDefault="00F4126C" w:rsidP="00FA0A69">
      <w:pPr>
        <w:pStyle w:val="Luettelokappale"/>
        <w:numPr>
          <w:ilvl w:val="0"/>
          <w:numId w:val="11"/>
        </w:numPr>
      </w:pPr>
      <w:r w:rsidRPr="00930B46">
        <w:t>Työsuojelu</w:t>
      </w:r>
    </w:p>
    <w:p w:rsidR="00F4126C" w:rsidRPr="00F4126C" w:rsidRDefault="00F4126C" w:rsidP="00FA0A69">
      <w:pPr>
        <w:pStyle w:val="Luettelokappale"/>
        <w:numPr>
          <w:ilvl w:val="0"/>
          <w:numId w:val="11"/>
        </w:numPr>
      </w:pPr>
      <w:r w:rsidRPr="00930B46">
        <w:t>Osallisuus</w:t>
      </w:r>
      <w:r>
        <w:t>, viestintä, perehdyttäminen (esim. henkilöstöpoliittiset asiakirjat työntekijöiden tiedossa)</w:t>
      </w:r>
    </w:p>
    <w:p w:rsidR="00CA28C6" w:rsidRDefault="005F4DAD" w:rsidP="00CA28C6">
      <w:pPr>
        <w:pStyle w:val="Otsikko2"/>
        <w:rPr>
          <w:lang w:val="fi-FI"/>
        </w:rPr>
      </w:pPr>
      <w:bookmarkStart w:id="23" w:name="_Toc462059787"/>
      <w:r>
        <w:rPr>
          <w:lang w:val="fi-FI"/>
        </w:rPr>
        <w:t>2</w:t>
      </w:r>
      <w:r w:rsidR="00CA28C6">
        <w:rPr>
          <w:lang w:val="fi-FI"/>
        </w:rPr>
        <w:t>.</w:t>
      </w:r>
      <w:r>
        <w:rPr>
          <w:lang w:val="fi-FI"/>
        </w:rPr>
        <w:t>2</w:t>
      </w:r>
      <w:r w:rsidR="00CA28C6">
        <w:rPr>
          <w:lang w:val="fi-FI"/>
        </w:rPr>
        <w:t xml:space="preserve"> Yhdenvertaisuussuunnitelman laatimiseen osallistuneet tahot</w:t>
      </w:r>
      <w:bookmarkEnd w:id="23"/>
    </w:p>
    <w:p w:rsidR="00FF360A" w:rsidRPr="005F4DAD" w:rsidRDefault="00CA28C6" w:rsidP="00FF360A">
      <w:pPr>
        <w:rPr>
          <w:rFonts w:ascii="Calibri" w:eastAsia="Calibri" w:hAnsi="Calibri" w:cs="Calibri"/>
        </w:rPr>
      </w:pPr>
      <w:r>
        <w:rPr>
          <w:lang w:val="fi-FI"/>
        </w:rPr>
        <w:t>Ten</w:t>
      </w:r>
      <w:r w:rsidR="00FF360A">
        <w:rPr>
          <w:lang w:val="fi-FI"/>
        </w:rPr>
        <w:t xml:space="preserve">nisliiton hallitus käsitteli </w:t>
      </w:r>
      <w:r w:rsidR="009111C2">
        <w:rPr>
          <w:lang w:val="fi-FI"/>
        </w:rPr>
        <w:t>syksyllä 2015</w:t>
      </w:r>
      <w:r>
        <w:rPr>
          <w:lang w:val="fi-FI"/>
        </w:rPr>
        <w:t xml:space="preserve"> yhdenvertaisuussuunnitelman laatimista ja </w:t>
      </w:r>
      <w:r w:rsidR="005F4DAD">
        <w:rPr>
          <w:lang w:val="fi-FI"/>
        </w:rPr>
        <w:t>päätti asettaa</w:t>
      </w:r>
      <w:r>
        <w:rPr>
          <w:lang w:val="fi-FI"/>
        </w:rPr>
        <w:t xml:space="preserve"> vastaavaksi henkilöksi Tenn</w:t>
      </w:r>
      <w:r w:rsidR="005F4DAD">
        <w:rPr>
          <w:lang w:val="fi-FI"/>
        </w:rPr>
        <w:t>isliiton seurapalvelupäällikön. Nykytilan kartoittamiseksi päätettiin suorittaa kysely, joka toteutettiin Valon tarjoaman työkalun avulla. K</w:t>
      </w:r>
      <w:r>
        <w:rPr>
          <w:lang w:val="fi-FI"/>
        </w:rPr>
        <w:t xml:space="preserve">ysely </w:t>
      </w:r>
      <w:r w:rsidR="005F4DAD">
        <w:rPr>
          <w:lang w:val="fi-FI"/>
        </w:rPr>
        <w:t xml:space="preserve">kohdistettiin </w:t>
      </w:r>
      <w:r>
        <w:rPr>
          <w:lang w:val="fi-FI"/>
        </w:rPr>
        <w:t>Tennisliiton hallituksen ja toimikuntien</w:t>
      </w:r>
      <w:r w:rsidR="00FF360A">
        <w:rPr>
          <w:lang w:val="fi-FI"/>
        </w:rPr>
        <w:t xml:space="preserve"> jäsenille sekä työntekijöille. </w:t>
      </w:r>
      <w:r w:rsidR="00FF360A" w:rsidRPr="00A503C9">
        <w:t xml:space="preserve">Kysely toteutettiin 8.9.-21.9.2015. </w:t>
      </w:r>
      <w:r w:rsidR="00FF360A">
        <w:t xml:space="preserve">Kysely lähetettiin yhteensä 35 henkilölle ja siihen </w:t>
      </w:r>
      <w:r w:rsidR="00FF360A" w:rsidRPr="00A503C9">
        <w:t xml:space="preserve">vastasi yhteensä 16 henkilöä (5 naista, 10 miestä, 1 sukupuoli ei tiedossa). Vastanneista yksikään ei ollut alle 30-vuotias. Yli puolet vastaajista oli 49-vuotiaita tai </w:t>
      </w:r>
      <w:r w:rsidR="004B1ADB">
        <w:t>vanhempia.</w:t>
      </w:r>
    </w:p>
    <w:p w:rsidR="0004134A" w:rsidRDefault="005F4DAD" w:rsidP="00CA28C6">
      <w:pPr>
        <w:rPr>
          <w:lang w:val="fi-FI"/>
        </w:rPr>
      </w:pPr>
      <w:r>
        <w:rPr>
          <w:lang w:val="fi-FI"/>
        </w:rPr>
        <w:t xml:space="preserve">Kyselyn tulokset </w:t>
      </w:r>
      <w:r w:rsidR="004B1ADB">
        <w:rPr>
          <w:lang w:val="fi-FI"/>
        </w:rPr>
        <w:t xml:space="preserve">analysoitiin </w:t>
      </w:r>
      <w:r>
        <w:rPr>
          <w:lang w:val="fi-FI"/>
        </w:rPr>
        <w:t xml:space="preserve">ja niiden perusteella </w:t>
      </w:r>
      <w:r w:rsidR="004B1ADB">
        <w:rPr>
          <w:lang w:val="fi-FI"/>
        </w:rPr>
        <w:t>tehtiin arvio nykytilasta. Arviossa otettiin huomioon kyselyn vast</w:t>
      </w:r>
      <w:r w:rsidR="007B34B5">
        <w:rPr>
          <w:lang w:val="fi-FI"/>
        </w:rPr>
        <w:t>a</w:t>
      </w:r>
      <w:r w:rsidR="004B1ADB">
        <w:rPr>
          <w:lang w:val="fi-FI"/>
        </w:rPr>
        <w:t>usten lisäksi myös muita tietoja Tennisliiton toiminnasta (säännöt, ohjeet, osallistujamäärät). Nykytilan arvion perusteella tunnistettiin toiminnassa olevia ke</w:t>
      </w:r>
      <w:r w:rsidR="007B34B5">
        <w:rPr>
          <w:lang w:val="fi-FI"/>
        </w:rPr>
        <w:t>hityskohteita ja</w:t>
      </w:r>
      <w:r w:rsidR="004B1ADB">
        <w:rPr>
          <w:lang w:val="fi-FI"/>
        </w:rPr>
        <w:t xml:space="preserve"> tehtiin suunnitelma yhdenvertaisuuden edistämisestä vuosille 2016-2017.</w:t>
      </w:r>
      <w:r w:rsidR="007B34B5">
        <w:rPr>
          <w:lang w:val="fi-FI"/>
        </w:rPr>
        <w:t xml:space="preserve"> </w:t>
      </w:r>
      <w:r w:rsidR="007B34B5">
        <w:rPr>
          <w:rFonts w:ascii="Calibri" w:eastAsia="Calibri" w:hAnsi="Calibri" w:cs="Calibri"/>
        </w:rPr>
        <w:t>Suunnitelman laatimisen etenemisestä tiedotettiin Tennisliiton hallitusta, toimikuntia ja työntekijöitä.</w:t>
      </w:r>
      <w:r w:rsidR="0004134A">
        <w:rPr>
          <w:rFonts w:ascii="Calibri" w:eastAsia="Calibri" w:hAnsi="Calibri" w:cs="Calibri"/>
        </w:rPr>
        <w:t xml:space="preserve"> </w:t>
      </w:r>
      <w:r w:rsidR="00CA28C6">
        <w:rPr>
          <w:lang w:val="fi-FI"/>
        </w:rPr>
        <w:t>Yhdenver</w:t>
      </w:r>
      <w:r w:rsidR="004B1ADB">
        <w:rPr>
          <w:lang w:val="fi-FI"/>
        </w:rPr>
        <w:t>taisuussuunnitelma hyväksyttiin</w:t>
      </w:r>
      <w:r w:rsidR="00CA28C6">
        <w:rPr>
          <w:lang w:val="fi-FI"/>
        </w:rPr>
        <w:t xml:space="preserve"> Tennisliiton hallituksen kokouksessa syyskuussa 2016.</w:t>
      </w:r>
    </w:p>
    <w:p w:rsidR="0004134A" w:rsidRDefault="0004134A" w:rsidP="00CA28C6">
      <w:pPr>
        <w:rPr>
          <w:rFonts w:ascii="Calibri" w:eastAsia="Calibri" w:hAnsi="Calibri" w:cs="Calibri"/>
        </w:rPr>
      </w:pPr>
      <w:r>
        <w:rPr>
          <w:rFonts w:ascii="Calibri" w:eastAsia="Calibri" w:hAnsi="Calibri" w:cs="Calibri"/>
        </w:rPr>
        <w:t>Vuosille 2016-2017 valittiin seuraavat yhdenvertaisuutta edistävät toimenpiteet:</w:t>
      </w:r>
    </w:p>
    <w:p w:rsidR="0004134A" w:rsidRDefault="0004134A" w:rsidP="00CA28C6">
      <w:pPr>
        <w:rPr>
          <w:lang w:val="fi-FI"/>
        </w:rPr>
      </w:pPr>
      <w:r>
        <w:rPr>
          <w:rFonts w:ascii="Calibri" w:eastAsia="Calibri" w:hAnsi="Calibri" w:cs="Calibri"/>
        </w:rPr>
        <w:t xml:space="preserve">1) </w:t>
      </w:r>
      <w:r w:rsidRPr="0004134A">
        <w:rPr>
          <w:rFonts w:ascii="Calibri" w:eastAsia="Calibri" w:hAnsi="Calibri" w:cs="Calibri"/>
        </w:rPr>
        <w:t>Viestintä yhdenvertaisuusasioista</w:t>
      </w:r>
      <w:r>
        <w:rPr>
          <w:rFonts w:ascii="Calibri" w:eastAsia="Calibri" w:hAnsi="Calibri" w:cs="Calibri"/>
        </w:rPr>
        <w:br/>
        <w:t xml:space="preserve">2) </w:t>
      </w:r>
      <w:r>
        <w:rPr>
          <w:lang w:val="fi-FI"/>
        </w:rPr>
        <w:t>Madalletaan kynnystä aloittaa harrastus</w:t>
      </w:r>
      <w:r>
        <w:rPr>
          <w:lang w:val="fi-FI"/>
        </w:rPr>
        <w:br/>
        <w:t xml:space="preserve">3) </w:t>
      </w:r>
      <w:r>
        <w:rPr>
          <w:lang w:val="fi-FI"/>
        </w:rPr>
        <w:t>Luodaan toimintamalli syrjintätapauksiin</w:t>
      </w:r>
    </w:p>
    <w:p w:rsidR="005F4DAD" w:rsidRPr="0004134A" w:rsidRDefault="00793289" w:rsidP="00CA28C6">
      <w:pPr>
        <w:rPr>
          <w:rFonts w:ascii="Calibri" w:eastAsia="Calibri" w:hAnsi="Calibri" w:cs="Calibri"/>
        </w:rPr>
      </w:pPr>
      <w:r>
        <w:rPr>
          <w:rFonts w:ascii="Calibri" w:eastAsia="Calibri" w:hAnsi="Calibri" w:cs="Calibri"/>
        </w:rPr>
        <w:t>Yhdenvertaisuustilanteen sekä y</w:t>
      </w:r>
      <w:r w:rsidR="0004134A">
        <w:rPr>
          <w:rFonts w:ascii="Calibri" w:eastAsia="Calibri" w:hAnsi="Calibri" w:cs="Calibri"/>
        </w:rPr>
        <w:t>hdenvertaisuutta edistävien toimenpiteiden vaikutusten arviointi on käynnissä ja niistä esitetään yhteenveto Tennisliiton hallitukselle marraskuussa 2017. Samalla esitetään hyväksyttäväksi yhdenvertaisuutta edistävät toimenpiteet vuodelle 2018.</w:t>
      </w:r>
    </w:p>
    <w:p w:rsidR="00956967" w:rsidRPr="00793289" w:rsidRDefault="00864653" w:rsidP="00793289">
      <w:pPr>
        <w:pStyle w:val="Otsikko2"/>
        <w:rPr>
          <w:lang w:val="fi-FI"/>
        </w:rPr>
      </w:pPr>
      <w:bookmarkStart w:id="24" w:name="_Toc462059788"/>
      <w:r>
        <w:rPr>
          <w:lang w:val="fi-FI"/>
        </w:rPr>
        <w:t>2</w:t>
      </w:r>
      <w:r w:rsidR="00424035">
        <w:rPr>
          <w:lang w:val="fi-FI"/>
        </w:rPr>
        <w:t>.</w:t>
      </w:r>
      <w:r w:rsidR="005F4DAD">
        <w:rPr>
          <w:lang w:val="fi-FI"/>
        </w:rPr>
        <w:t>3</w:t>
      </w:r>
      <w:r w:rsidR="00424035">
        <w:rPr>
          <w:lang w:val="fi-FI"/>
        </w:rPr>
        <w:t xml:space="preserve"> </w:t>
      </w:r>
      <w:r>
        <w:rPr>
          <w:lang w:val="fi-FI"/>
        </w:rPr>
        <w:t xml:space="preserve">Arvio </w:t>
      </w:r>
      <w:bookmarkEnd w:id="24"/>
      <w:r w:rsidR="0004134A">
        <w:rPr>
          <w:lang w:val="fi-FI"/>
        </w:rPr>
        <w:t>tilanteesta syksyllä 2017</w:t>
      </w:r>
    </w:p>
    <w:p w:rsidR="00992318" w:rsidRDefault="00793289" w:rsidP="00424035">
      <w:r>
        <w:t>Y</w:t>
      </w:r>
      <w:r w:rsidR="00992318">
        <w:t>hdenvertaisuuteen liittyvät asiat ovat varsin hyvällä mallilla Tennisliiton toiminnassa. Esimerkiksi h</w:t>
      </w:r>
      <w:r w:rsidR="00992318" w:rsidRPr="00992318">
        <w:t>allituksen jäsenten valinnassa on kiinnitetty huomiota sekä ikään, sukupuoleen että alueelliseen tasa-arvoon.</w:t>
      </w:r>
      <w:r w:rsidR="00992318">
        <w:t xml:space="preserve"> </w:t>
      </w:r>
      <w:r>
        <w:t xml:space="preserve">Vuonna 2017 Tennisliiton hallituksessa on vain yksi vähemmistösukupuolen edustaja, mutta syyskokouksessa 2017 valittaneen toinen vähemmistösukupuolen edustaja. </w:t>
      </w:r>
      <w:r w:rsidR="00992318">
        <w:t>T</w:t>
      </w:r>
      <w:r w:rsidR="00992318" w:rsidRPr="00992318">
        <w:t xml:space="preserve">ällä hetkellä </w:t>
      </w:r>
      <w:r w:rsidR="00992318">
        <w:t xml:space="preserve">luottamustehtävissä ei ole </w:t>
      </w:r>
      <w:r w:rsidR="00992318" w:rsidRPr="00992318">
        <w:t xml:space="preserve">maahanmuuttajataustaisia </w:t>
      </w:r>
      <w:r w:rsidR="00992318">
        <w:t xml:space="preserve">henkilöitä, mutta mitään estettä sille ei ole. </w:t>
      </w:r>
      <w:r w:rsidR="00D644B9">
        <w:t>Työntekijänä on ollut maahanmuuttajataustaisia henkilöitä.</w:t>
      </w:r>
      <w:r w:rsidR="00992318">
        <w:t xml:space="preserve"> Myös urheilutoiminnassa yhdenvertaisuus toteutuu hyvin erityisesti </w:t>
      </w:r>
      <w:r w:rsidR="00992318" w:rsidRPr="00992318">
        <w:t>miesten ja naisten välisessä tasa-arvossa sekä esteettömyysasioissa ja liikuntarajoitteisten harrastamisessa</w:t>
      </w:r>
      <w:r w:rsidR="00992318">
        <w:t xml:space="preserve">. </w:t>
      </w:r>
    </w:p>
    <w:p w:rsidR="006B6AB3" w:rsidRDefault="006B6AB3" w:rsidP="00424035">
      <w:r>
        <w:t>Ensimmäisenä kehityskohteena oli yhdenvertaisuuteen liittyvän viestinnän kehittäminen. Yhdenvertaisuusasiat ovat olleet aiempaa enemmän esillä ja siltä osin kehitystä on tapahtunut. Tennisliiton viestintä tullaan organisoimaan uudella tavalla vuoden 2018 alusta lähtien. Tämä tullee mahdollistamaan sen, että yhdenvertaisuuteen liittyvään viestintään voidaan panostaa vielä enemmän. Näin ollen yhdenvertaisuuteen liittyvä viestintä pidetään edelleen yhtenä kehityskohteena.</w:t>
      </w:r>
    </w:p>
    <w:p w:rsidR="00793289" w:rsidRDefault="006B6AB3" w:rsidP="00424035">
      <w:r>
        <w:t xml:space="preserve">Toisena </w:t>
      </w:r>
      <w:r w:rsidR="00793289">
        <w:t>kehityskoh</w:t>
      </w:r>
      <w:r>
        <w:t>teena</w:t>
      </w:r>
      <w:r w:rsidR="00793289">
        <w:t xml:space="preserve"> ol</w:t>
      </w:r>
      <w:r>
        <w:t>i</w:t>
      </w:r>
      <w:r w:rsidR="00793289">
        <w:t xml:space="preserve"> </w:t>
      </w:r>
      <w:r w:rsidR="00992318">
        <w:t>urheilutoimintaan liittyvä taloudellinen tasa-arvo</w:t>
      </w:r>
      <w:r w:rsidR="00793289">
        <w:t>.</w:t>
      </w:r>
      <w:r w:rsidR="00992318">
        <w:t xml:space="preserve"> </w:t>
      </w:r>
      <w:r w:rsidR="00793289">
        <w:t xml:space="preserve">Tähän Tennisliitto on tehnyt merkittäviä toimenpiteitä. Tennisliiton organisoiman Street Tennis -kiertueen sekä mailapelien yhteistapahtumien kautta yli 20.000 lasta on päässyt kokeilemaan tennistä ilmaiseksi. Lisäksi Tennisliitto </w:t>
      </w:r>
      <w:r w:rsidR="00793289">
        <w:lastRenderedPageBreak/>
        <w:t>tarjosi yhdessä päätukijansa ja Hope ryn kanssa sadalle lapselle ilmaisen tenniksen kesäleirin kesällää 2017. Näitä toimintamalleja jatketaan vuonna 2018.</w:t>
      </w:r>
    </w:p>
    <w:p w:rsidR="00992318" w:rsidRDefault="006B6AB3" w:rsidP="00992318">
      <w:r>
        <w:t xml:space="preserve">Kolmantena </w:t>
      </w:r>
      <w:r w:rsidR="00793289">
        <w:t>kehityskohte</w:t>
      </w:r>
      <w:r>
        <w:t>e</w:t>
      </w:r>
      <w:r w:rsidR="00793289">
        <w:t xml:space="preserve">na oli syrjintätapauksiin liittyvän toimintamallin luominen. </w:t>
      </w:r>
      <w:r>
        <w:t xml:space="preserve">Toimintamallia ei ole vielä saatu valmiiksi ja sen vuoksi myös tämä asia pidetään edelleen kehityskohteena. </w:t>
      </w:r>
      <w:r w:rsidR="00713B4F">
        <w:t>Vaikka syrjintätapauksia ei tullut vuosien 2016 ja 2017 aikana esille, on toimintamallin luominen tärkeää.</w:t>
      </w:r>
    </w:p>
    <w:p w:rsidR="00BD7789" w:rsidRDefault="00BC6685" w:rsidP="00424035">
      <w:pPr>
        <w:pStyle w:val="Otsikko1"/>
        <w:rPr>
          <w:lang w:val="fi-FI"/>
        </w:rPr>
      </w:pPr>
      <w:bookmarkStart w:id="25" w:name="_Toc462059789"/>
      <w:r>
        <w:rPr>
          <w:lang w:val="fi-FI"/>
        </w:rPr>
        <w:t>3</w:t>
      </w:r>
      <w:r w:rsidR="00424035">
        <w:rPr>
          <w:lang w:val="fi-FI"/>
        </w:rPr>
        <w:t>. Yhdenvertaisuutta edistävät t</w:t>
      </w:r>
      <w:r w:rsidR="00BD7789">
        <w:rPr>
          <w:lang w:val="fi-FI"/>
        </w:rPr>
        <w:t>oimenpiteet</w:t>
      </w:r>
      <w:r w:rsidR="00664897">
        <w:rPr>
          <w:lang w:val="fi-FI"/>
        </w:rPr>
        <w:t xml:space="preserve"> 201</w:t>
      </w:r>
      <w:bookmarkEnd w:id="25"/>
      <w:r w:rsidR="0004134A">
        <w:rPr>
          <w:lang w:val="fi-FI"/>
        </w:rPr>
        <w:t>8</w:t>
      </w:r>
    </w:p>
    <w:p w:rsidR="00BC6685" w:rsidRDefault="00BC6685" w:rsidP="00BC6685">
      <w:pPr>
        <w:pStyle w:val="Otsikko2"/>
        <w:rPr>
          <w:lang w:val="fi-FI"/>
        </w:rPr>
      </w:pPr>
      <w:bookmarkStart w:id="26" w:name="_Toc462059790"/>
      <w:r>
        <w:rPr>
          <w:lang w:val="fi-FI"/>
        </w:rPr>
        <w:t xml:space="preserve">3.1 </w:t>
      </w:r>
      <w:bookmarkEnd w:id="26"/>
      <w:r w:rsidR="00793289">
        <w:rPr>
          <w:lang w:val="fi-FI"/>
        </w:rPr>
        <w:t>Toimenpiteet</w:t>
      </w:r>
    </w:p>
    <w:p w:rsidR="00BC6685" w:rsidRDefault="00B0657F" w:rsidP="00B0657F">
      <w:pPr>
        <w:pStyle w:val="Otsikko3"/>
        <w:rPr>
          <w:lang w:val="fi-FI"/>
        </w:rPr>
      </w:pPr>
      <w:bookmarkStart w:id="27" w:name="_Toc462059791"/>
      <w:r>
        <w:rPr>
          <w:lang w:val="fi-FI"/>
        </w:rPr>
        <w:t xml:space="preserve">3.1.1 </w:t>
      </w:r>
      <w:r w:rsidR="00BC6685" w:rsidRPr="00BC6685">
        <w:rPr>
          <w:lang w:val="fi-FI"/>
        </w:rPr>
        <w:t>Viestintä yhdenvertaisuusasioista</w:t>
      </w:r>
      <w:bookmarkEnd w:id="27"/>
    </w:p>
    <w:p w:rsidR="001B609E" w:rsidRDefault="006B6AB3" w:rsidP="00BC6685">
      <w:pPr>
        <w:rPr>
          <w:lang w:val="fi-FI"/>
        </w:rPr>
      </w:pPr>
      <w:r>
        <w:rPr>
          <w:lang w:val="fi-FI"/>
        </w:rPr>
        <w:t>Yhdenvertaisuuteen liittyvä v</w:t>
      </w:r>
      <w:r w:rsidR="001B609E">
        <w:rPr>
          <w:lang w:val="fi-FI"/>
        </w:rPr>
        <w:t>iestintä on tärkeää, vaikka ongelmia ei tällä hetkellä olisikaan.</w:t>
      </w:r>
      <w:r>
        <w:rPr>
          <w:lang w:val="fi-FI"/>
        </w:rPr>
        <w:t xml:space="preserve"> Y</w:t>
      </w:r>
      <w:r w:rsidR="001B609E">
        <w:rPr>
          <w:lang w:val="fi-FI"/>
        </w:rPr>
        <w:t>hdenvertaisuussuunnitelma on hyvä työkalu yhdenvertaisuusasioista viestimiseen. Sitä voidaan hyödyntää koulutuksissa, hallitus- ja toimikuntatyöskentelyssä sekä Tennisliiton viestintäkanavissa.</w:t>
      </w:r>
    </w:p>
    <w:p w:rsidR="001B609E" w:rsidRPr="001B609E" w:rsidRDefault="008B76A7" w:rsidP="00BC6685">
      <w:pPr>
        <w:rPr>
          <w:lang w:val="fi-FI"/>
        </w:rPr>
      </w:pPr>
      <w:r>
        <w:rPr>
          <w:lang w:val="fi-FI"/>
        </w:rPr>
        <w:t>Yhdenvertaisuussuunnitelma käsitellään aina uuden toimikauden alussa hallituksessa ja kussakin toimikunnassa. Yhdenvertaisuusasiat sisällytetään koulutusohjelmiin vuoden 2017 aikana. Yhdenvertaisuusasiat ovat säännöllisesti esillä Tennisliiton verkkosivuilla sekä Tennisliiton sosiaalisessa mediassa.</w:t>
      </w:r>
    </w:p>
    <w:p w:rsidR="00BC6685" w:rsidRDefault="00B0657F" w:rsidP="00B0657F">
      <w:pPr>
        <w:pStyle w:val="Otsikko3"/>
        <w:rPr>
          <w:lang w:val="fi-FI"/>
        </w:rPr>
      </w:pPr>
      <w:bookmarkStart w:id="28" w:name="_Toc462059792"/>
      <w:r>
        <w:rPr>
          <w:lang w:val="fi-FI"/>
        </w:rPr>
        <w:t xml:space="preserve">3.1.2 </w:t>
      </w:r>
      <w:r w:rsidR="00BC6685">
        <w:rPr>
          <w:lang w:val="fi-FI"/>
        </w:rPr>
        <w:t>Madalletaan kynnystä aloittaa harrastus</w:t>
      </w:r>
      <w:bookmarkEnd w:id="28"/>
    </w:p>
    <w:p w:rsidR="008B76A7" w:rsidRDefault="007A670C" w:rsidP="00BC6685">
      <w:pPr>
        <w:rPr>
          <w:lang w:val="fi-FI"/>
        </w:rPr>
      </w:pPr>
      <w:r>
        <w:rPr>
          <w:lang w:val="fi-FI"/>
        </w:rPr>
        <w:t>Tennisliit</w:t>
      </w:r>
      <w:r w:rsidR="00713B4F">
        <w:rPr>
          <w:lang w:val="fi-FI"/>
        </w:rPr>
        <w:t>to</w:t>
      </w:r>
      <w:r>
        <w:rPr>
          <w:lang w:val="fi-FI"/>
        </w:rPr>
        <w:t xml:space="preserve"> on </w:t>
      </w:r>
      <w:r w:rsidR="00713B4F">
        <w:rPr>
          <w:lang w:val="fi-FI"/>
        </w:rPr>
        <w:t xml:space="preserve">kehittänyt hyviä </w:t>
      </w:r>
      <w:r>
        <w:rPr>
          <w:lang w:val="fi-FI"/>
        </w:rPr>
        <w:t xml:space="preserve">toimintamalleja (mm. Street Tennis </w:t>
      </w:r>
      <w:r w:rsidR="00713B4F">
        <w:rPr>
          <w:lang w:val="fi-FI"/>
        </w:rPr>
        <w:t>-</w:t>
      </w:r>
      <w:r>
        <w:rPr>
          <w:lang w:val="fi-FI"/>
        </w:rPr>
        <w:t>kiertue</w:t>
      </w:r>
      <w:r w:rsidR="00713B4F">
        <w:rPr>
          <w:lang w:val="fi-FI"/>
        </w:rPr>
        <w:t>, mailapelitapahtumat ja vähävaraisten kesäleiritoiminta</w:t>
      </w:r>
      <w:r>
        <w:rPr>
          <w:lang w:val="fi-FI"/>
        </w:rPr>
        <w:t xml:space="preserve">), jolla madalletaan kynnystä osallistua tennistoimintaan. </w:t>
      </w:r>
      <w:r w:rsidR="00713B4F">
        <w:rPr>
          <w:lang w:val="fi-FI"/>
        </w:rPr>
        <w:t>Näitä toimintamalleja jatketaan vuoden 2018 aikana. Uutena toimintamallina pyritään kehittämään yhteistyössä kuntien kanssa vähävaraisille suunnattua tenniskerhotoimintaa, jonka avulla kesäleireillä olleet lapset voivat jatkaa harrastusta.</w:t>
      </w:r>
    </w:p>
    <w:p w:rsidR="00BC6685" w:rsidRDefault="00B0657F" w:rsidP="00B0657F">
      <w:pPr>
        <w:pStyle w:val="Otsikko3"/>
        <w:rPr>
          <w:lang w:val="fi-FI"/>
        </w:rPr>
      </w:pPr>
      <w:bookmarkStart w:id="29" w:name="_Toc462059793"/>
      <w:r>
        <w:rPr>
          <w:lang w:val="fi-FI"/>
        </w:rPr>
        <w:t xml:space="preserve">3.1.3 </w:t>
      </w:r>
      <w:r w:rsidR="00BC6685">
        <w:rPr>
          <w:lang w:val="fi-FI"/>
        </w:rPr>
        <w:t>Luodaan toimintamalli syrjintätapauksiin</w:t>
      </w:r>
      <w:bookmarkEnd w:id="29"/>
    </w:p>
    <w:p w:rsidR="007A670C" w:rsidRPr="007A670C" w:rsidRDefault="007A670C" w:rsidP="00BC6685">
      <w:pPr>
        <w:rPr>
          <w:lang w:val="fi-FI"/>
        </w:rPr>
      </w:pPr>
      <w:r w:rsidRPr="007A670C">
        <w:rPr>
          <w:lang w:val="fi-FI"/>
        </w:rPr>
        <w:t xml:space="preserve">Syrjintätapaukset </w:t>
      </w:r>
      <w:r>
        <w:rPr>
          <w:lang w:val="fi-FI"/>
        </w:rPr>
        <w:t xml:space="preserve">eivät ole nousseet esille Tennisliiton toiminnassa. Tennisliitolla ei ole toimintamallia siihen, miten syrjintätapaukset voidaan ilmoittaa eikä siihen, miten niissä toimitaan. Tennisliitolle </w:t>
      </w:r>
      <w:r w:rsidR="00713B4F">
        <w:rPr>
          <w:lang w:val="fi-FI"/>
        </w:rPr>
        <w:t xml:space="preserve">luodaan </w:t>
      </w:r>
      <w:r>
        <w:rPr>
          <w:lang w:val="fi-FI"/>
        </w:rPr>
        <w:t>ilmoituskanava sekä toimintamalli syrjintätapauksiin.</w:t>
      </w:r>
    </w:p>
    <w:p w:rsidR="00BC6685" w:rsidRDefault="00BC6685" w:rsidP="00BC6685">
      <w:pPr>
        <w:pStyle w:val="Otsikko2"/>
        <w:rPr>
          <w:lang w:val="fi-FI"/>
        </w:rPr>
      </w:pPr>
      <w:bookmarkStart w:id="30" w:name="_Toc462059794"/>
      <w:r>
        <w:rPr>
          <w:lang w:val="fi-FI"/>
        </w:rPr>
        <w:t>3.2 Aikataulu ja vastuut</w:t>
      </w:r>
      <w:bookmarkEnd w:id="30"/>
    </w:p>
    <w:p w:rsidR="00BC6685" w:rsidRDefault="001B609E" w:rsidP="00BC6685">
      <w:pPr>
        <w:rPr>
          <w:lang w:val="fi-FI"/>
        </w:rPr>
      </w:pPr>
      <w:r>
        <w:rPr>
          <w:lang w:val="fi-FI"/>
        </w:rPr>
        <w:t xml:space="preserve">Hallituksen ja toimikuntien puheenjohtajat vastaavat siitä, että yhdenvertaisuussuunnitelma käsitellään </w:t>
      </w:r>
      <w:r w:rsidR="00793289">
        <w:rPr>
          <w:lang w:val="fi-FI"/>
        </w:rPr>
        <w:t xml:space="preserve">vuoden 2018 </w:t>
      </w:r>
      <w:r>
        <w:rPr>
          <w:lang w:val="fi-FI"/>
        </w:rPr>
        <w:t>alussa hallituksessa ja kussakin toimikunnassa.</w:t>
      </w:r>
      <w:r w:rsidR="00B0657F">
        <w:rPr>
          <w:lang w:val="fi-FI"/>
        </w:rPr>
        <w:t xml:space="preserve"> Viestinnästä vastaava henkilö vastaa siitä, että yhdenvertaisuusasiat ovat säännöllisesti esillä Tennisliiton verkkosivuilla sekä Tennisliiton sosiaalisessa mediassa.</w:t>
      </w:r>
      <w:r w:rsidR="00713B4F">
        <w:rPr>
          <w:lang w:val="fi-FI"/>
        </w:rPr>
        <w:t xml:space="preserve"> Seurapalvelupäällikkö vastaa Street Tennis -kiertueen, mailapelitapahtumien sekä kesäleirien organisoimisesta sekä uuden yhteistyömallin kehittämisestä kuntien kanssa. Tennisliiton hallitus valitsee keskuudestaan henkilön, joka perustaa vuoden 2018 alussa työryhmän kehittämään toimintamallin syrjintätapauksiin.</w:t>
      </w:r>
      <w:bookmarkStart w:id="31" w:name="_GoBack"/>
      <w:bookmarkEnd w:id="31"/>
    </w:p>
    <w:p w:rsidR="00BC6685" w:rsidRDefault="00BC6685" w:rsidP="00BC6685">
      <w:pPr>
        <w:pStyle w:val="Otsikko2"/>
        <w:rPr>
          <w:lang w:val="fi-FI"/>
        </w:rPr>
      </w:pPr>
      <w:bookmarkStart w:id="32" w:name="_Toc462059795"/>
      <w:r>
        <w:rPr>
          <w:lang w:val="fi-FI"/>
        </w:rPr>
        <w:t>3.3 Seuranta</w:t>
      </w:r>
      <w:bookmarkEnd w:id="32"/>
    </w:p>
    <w:p w:rsidR="00CA28C6" w:rsidRPr="00BC6685" w:rsidRDefault="00A44C31" w:rsidP="00BD7789">
      <w:pPr>
        <w:rPr>
          <w:lang w:val="fi-FI"/>
        </w:rPr>
      </w:pPr>
      <w:r>
        <w:rPr>
          <w:lang w:val="fi-FI"/>
        </w:rPr>
        <w:t xml:space="preserve">Hallitus valvoo edellä mainittujen kehitystoimenpiteiden suorittamista. Hallitukselle tehdään </w:t>
      </w:r>
      <w:r w:rsidR="00793289">
        <w:rPr>
          <w:lang w:val="fi-FI"/>
        </w:rPr>
        <w:t>loka</w:t>
      </w:r>
      <w:r>
        <w:rPr>
          <w:lang w:val="fi-FI"/>
        </w:rPr>
        <w:t>kuun 201</w:t>
      </w:r>
      <w:r w:rsidR="00793289">
        <w:rPr>
          <w:lang w:val="fi-FI"/>
        </w:rPr>
        <w:t>8</w:t>
      </w:r>
      <w:r>
        <w:rPr>
          <w:lang w:val="fi-FI"/>
        </w:rPr>
        <w:t xml:space="preserve"> kokoukseen tilannekatsaus asioiden etenemisestä. Sen jälkeen hallitus arvioi tarvittavat jatkotoimenpiteet.</w:t>
      </w:r>
    </w:p>
    <w:p w:rsidR="00BD7789" w:rsidRDefault="00BC6685" w:rsidP="00424035">
      <w:pPr>
        <w:pStyle w:val="Otsikko1"/>
        <w:rPr>
          <w:lang w:val="fi-FI"/>
        </w:rPr>
      </w:pPr>
      <w:bookmarkStart w:id="33" w:name="_Toc462059796"/>
      <w:r>
        <w:rPr>
          <w:lang w:val="fi-FI"/>
        </w:rPr>
        <w:lastRenderedPageBreak/>
        <w:t>4</w:t>
      </w:r>
      <w:r w:rsidR="00424035">
        <w:rPr>
          <w:lang w:val="fi-FI"/>
        </w:rPr>
        <w:t xml:space="preserve">. </w:t>
      </w:r>
      <w:r w:rsidR="000B6F47">
        <w:rPr>
          <w:lang w:val="fi-FI"/>
        </w:rPr>
        <w:t>Lähteitä/oppaita</w:t>
      </w:r>
      <w:bookmarkEnd w:id="33"/>
    </w:p>
    <w:p w:rsidR="000B6F47" w:rsidRDefault="00713B4F" w:rsidP="00BD7789">
      <w:pPr>
        <w:rPr>
          <w:lang w:val="fi-FI"/>
        </w:rPr>
      </w:pPr>
      <w:hyperlink r:id="rId7" w:history="1">
        <w:r w:rsidR="000B6F47" w:rsidRPr="009C3734">
          <w:rPr>
            <w:rStyle w:val="Hyperlinkki"/>
            <w:lang w:val="fi-FI"/>
          </w:rPr>
          <w:t>http://www.yhdenvertaisuus.fi/yhdenvertaisuussuunnittelu/oppaita-yhdenvertaisuuden-kehitt/</w:t>
        </w:r>
      </w:hyperlink>
    </w:p>
    <w:p w:rsidR="000B6F47" w:rsidRDefault="00713B4F" w:rsidP="00BD7789">
      <w:pPr>
        <w:rPr>
          <w:lang w:val="fi-FI"/>
        </w:rPr>
      </w:pPr>
      <w:hyperlink r:id="rId8" w:history="1">
        <w:r w:rsidR="000B6F47" w:rsidRPr="009C3734">
          <w:rPr>
            <w:rStyle w:val="Hyperlinkki"/>
            <w:lang w:val="fi-FI"/>
          </w:rPr>
          <w:t>http://www.sport.fi/en/arvot-ja-vastuullisuus/yhdenvertainen-urheilu/hyvat-mallit-jakoon</w:t>
        </w:r>
      </w:hyperlink>
    </w:p>
    <w:p w:rsidR="00BD2122" w:rsidRDefault="00713B4F" w:rsidP="00BD7789">
      <w:pPr>
        <w:rPr>
          <w:rStyle w:val="Hyperlinkki"/>
          <w:lang w:val="fi-FI"/>
        </w:rPr>
      </w:pPr>
      <w:hyperlink r:id="rId9" w:history="1">
        <w:r w:rsidR="00FE56AA" w:rsidRPr="00B62014">
          <w:rPr>
            <w:rStyle w:val="Hyperlinkki"/>
            <w:lang w:val="fi-FI"/>
          </w:rPr>
          <w:t>www.tasa-arvo.fi/lainsaadanto</w:t>
        </w:r>
      </w:hyperlink>
    </w:p>
    <w:p w:rsidR="007C7A79" w:rsidRDefault="007C7A79" w:rsidP="00BD7789">
      <w:pPr>
        <w:rPr>
          <w:rStyle w:val="Hyperlinkki"/>
          <w:lang w:val="fi-FI"/>
        </w:rPr>
      </w:pPr>
      <w:r w:rsidRPr="007C7A79">
        <w:rPr>
          <w:rStyle w:val="Hyperlinkki"/>
          <w:lang w:val="fi-FI"/>
        </w:rPr>
        <w:t>http://www.intermin.fi/fi/maahanmuutto</w:t>
      </w:r>
    </w:p>
    <w:p w:rsidR="00BD2122" w:rsidRPr="00BC6685" w:rsidRDefault="00BD2122" w:rsidP="00BD2122">
      <w:pPr>
        <w:rPr>
          <w:lang w:val="fi-FI"/>
        </w:rPr>
      </w:pPr>
      <w:r>
        <w:rPr>
          <w:lang w:val="fi-FI"/>
        </w:rPr>
        <w:t>Laki naisten ja miesten välisestä tasa-arvosta</w:t>
      </w:r>
    </w:p>
    <w:p w:rsidR="00BD2122" w:rsidRDefault="007C7A79" w:rsidP="007C7A79">
      <w:pPr>
        <w:rPr>
          <w:lang w:val="fi-FI"/>
        </w:rPr>
      </w:pPr>
      <w:r>
        <w:rPr>
          <w:lang w:val="fi-FI"/>
        </w:rPr>
        <w:t>Yhdenvertaisuuslaki</w:t>
      </w:r>
    </w:p>
    <w:p w:rsidR="007C7A79" w:rsidRPr="00BD2122" w:rsidRDefault="007C7A79" w:rsidP="007C7A79">
      <w:pPr>
        <w:rPr>
          <w:lang w:val="fi-FI"/>
        </w:rPr>
      </w:pPr>
      <w:r>
        <w:rPr>
          <w:lang w:val="fi-FI"/>
        </w:rPr>
        <w:t>Liikuntalaki</w:t>
      </w:r>
    </w:p>
    <w:sectPr w:rsidR="007C7A79" w:rsidRPr="00BD21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51D"/>
    <w:multiLevelType w:val="hybridMultilevel"/>
    <w:tmpl w:val="733A1B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6A862A6"/>
    <w:multiLevelType w:val="hybridMultilevel"/>
    <w:tmpl w:val="73A062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CB5F82"/>
    <w:multiLevelType w:val="hybridMultilevel"/>
    <w:tmpl w:val="2134475E"/>
    <w:lvl w:ilvl="0" w:tplc="E1B6898C">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CA4B25"/>
    <w:multiLevelType w:val="hybridMultilevel"/>
    <w:tmpl w:val="448E829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3F110F"/>
    <w:multiLevelType w:val="hybridMultilevel"/>
    <w:tmpl w:val="30BCFA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BC46F66"/>
    <w:multiLevelType w:val="hybridMultilevel"/>
    <w:tmpl w:val="528C19C2"/>
    <w:lvl w:ilvl="0" w:tplc="040B000F">
      <w:start w:val="1"/>
      <w:numFmt w:val="decimal"/>
      <w:lvlText w:val="%1."/>
      <w:lvlJc w:val="left"/>
      <w:pPr>
        <w:ind w:left="1353" w:hanging="360"/>
      </w:pPr>
      <w:rPr>
        <w:rFonts w:hint="default"/>
      </w:rPr>
    </w:lvl>
    <w:lvl w:ilvl="1" w:tplc="040B0019" w:tentative="1">
      <w:start w:val="1"/>
      <w:numFmt w:val="lowerLetter"/>
      <w:lvlText w:val="%2."/>
      <w:lvlJc w:val="left"/>
      <w:pPr>
        <w:ind w:left="2073" w:hanging="360"/>
      </w:pPr>
    </w:lvl>
    <w:lvl w:ilvl="2" w:tplc="040B001B" w:tentative="1">
      <w:start w:val="1"/>
      <w:numFmt w:val="lowerRoman"/>
      <w:lvlText w:val="%3."/>
      <w:lvlJc w:val="right"/>
      <w:pPr>
        <w:ind w:left="2793" w:hanging="180"/>
      </w:pPr>
    </w:lvl>
    <w:lvl w:ilvl="3" w:tplc="040B000F" w:tentative="1">
      <w:start w:val="1"/>
      <w:numFmt w:val="decimal"/>
      <w:lvlText w:val="%4."/>
      <w:lvlJc w:val="left"/>
      <w:pPr>
        <w:ind w:left="3513" w:hanging="360"/>
      </w:pPr>
    </w:lvl>
    <w:lvl w:ilvl="4" w:tplc="040B0019" w:tentative="1">
      <w:start w:val="1"/>
      <w:numFmt w:val="lowerLetter"/>
      <w:lvlText w:val="%5."/>
      <w:lvlJc w:val="left"/>
      <w:pPr>
        <w:ind w:left="4233" w:hanging="360"/>
      </w:pPr>
    </w:lvl>
    <w:lvl w:ilvl="5" w:tplc="040B001B" w:tentative="1">
      <w:start w:val="1"/>
      <w:numFmt w:val="lowerRoman"/>
      <w:lvlText w:val="%6."/>
      <w:lvlJc w:val="right"/>
      <w:pPr>
        <w:ind w:left="4953" w:hanging="180"/>
      </w:pPr>
    </w:lvl>
    <w:lvl w:ilvl="6" w:tplc="040B000F" w:tentative="1">
      <w:start w:val="1"/>
      <w:numFmt w:val="decimal"/>
      <w:lvlText w:val="%7."/>
      <w:lvlJc w:val="left"/>
      <w:pPr>
        <w:ind w:left="5673" w:hanging="360"/>
      </w:pPr>
    </w:lvl>
    <w:lvl w:ilvl="7" w:tplc="040B0019" w:tentative="1">
      <w:start w:val="1"/>
      <w:numFmt w:val="lowerLetter"/>
      <w:lvlText w:val="%8."/>
      <w:lvlJc w:val="left"/>
      <w:pPr>
        <w:ind w:left="6393" w:hanging="360"/>
      </w:pPr>
    </w:lvl>
    <w:lvl w:ilvl="8" w:tplc="040B001B" w:tentative="1">
      <w:start w:val="1"/>
      <w:numFmt w:val="lowerRoman"/>
      <w:lvlText w:val="%9."/>
      <w:lvlJc w:val="right"/>
      <w:pPr>
        <w:ind w:left="7113" w:hanging="180"/>
      </w:pPr>
    </w:lvl>
  </w:abstractNum>
  <w:abstractNum w:abstractNumId="6" w15:restartNumberingAfterBreak="0">
    <w:nsid w:val="5F8A09E0"/>
    <w:multiLevelType w:val="hybridMultilevel"/>
    <w:tmpl w:val="2F6A3E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FCC6293"/>
    <w:multiLevelType w:val="hybridMultilevel"/>
    <w:tmpl w:val="84D41DEA"/>
    <w:lvl w:ilvl="0" w:tplc="A342C816">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5192E75"/>
    <w:multiLevelType w:val="hybridMultilevel"/>
    <w:tmpl w:val="E9981C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6C4106E"/>
    <w:multiLevelType w:val="hybridMultilevel"/>
    <w:tmpl w:val="1BBEBD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F287595"/>
    <w:multiLevelType w:val="hybridMultilevel"/>
    <w:tmpl w:val="3A9274B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4"/>
  </w:num>
  <w:num w:numId="6">
    <w:abstractNumId w:val="3"/>
  </w:num>
  <w:num w:numId="7">
    <w:abstractNumId w:val="1"/>
  </w:num>
  <w:num w:numId="8">
    <w:abstractNumId w:val="6"/>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89"/>
    <w:rsid w:val="0000472D"/>
    <w:rsid w:val="00004CE4"/>
    <w:rsid w:val="0004134A"/>
    <w:rsid w:val="000B6F47"/>
    <w:rsid w:val="000D1B62"/>
    <w:rsid w:val="000F0783"/>
    <w:rsid w:val="001B609E"/>
    <w:rsid w:val="00352D64"/>
    <w:rsid w:val="00380520"/>
    <w:rsid w:val="00385738"/>
    <w:rsid w:val="003B1FDC"/>
    <w:rsid w:val="00424035"/>
    <w:rsid w:val="004B1ADB"/>
    <w:rsid w:val="00507931"/>
    <w:rsid w:val="00511A67"/>
    <w:rsid w:val="005D3CFC"/>
    <w:rsid w:val="005F4DAD"/>
    <w:rsid w:val="006252BD"/>
    <w:rsid w:val="00664897"/>
    <w:rsid w:val="006B6AB3"/>
    <w:rsid w:val="00713B4F"/>
    <w:rsid w:val="0077001E"/>
    <w:rsid w:val="007732F2"/>
    <w:rsid w:val="00793289"/>
    <w:rsid w:val="007A670C"/>
    <w:rsid w:val="007B34B5"/>
    <w:rsid w:val="007C7A79"/>
    <w:rsid w:val="00864653"/>
    <w:rsid w:val="0089692C"/>
    <w:rsid w:val="008B76A7"/>
    <w:rsid w:val="009111C2"/>
    <w:rsid w:val="00914F09"/>
    <w:rsid w:val="00956967"/>
    <w:rsid w:val="00982336"/>
    <w:rsid w:val="00992318"/>
    <w:rsid w:val="00A265F6"/>
    <w:rsid w:val="00A44C31"/>
    <w:rsid w:val="00A503C9"/>
    <w:rsid w:val="00A5152C"/>
    <w:rsid w:val="00A7344D"/>
    <w:rsid w:val="00AD0887"/>
    <w:rsid w:val="00AF280B"/>
    <w:rsid w:val="00B0657F"/>
    <w:rsid w:val="00BB4E02"/>
    <w:rsid w:val="00BC6685"/>
    <w:rsid w:val="00BD2122"/>
    <w:rsid w:val="00BD7789"/>
    <w:rsid w:val="00CA28C6"/>
    <w:rsid w:val="00D644B9"/>
    <w:rsid w:val="00DF03A4"/>
    <w:rsid w:val="00E42F50"/>
    <w:rsid w:val="00E75829"/>
    <w:rsid w:val="00EE509E"/>
    <w:rsid w:val="00EE6280"/>
    <w:rsid w:val="00EE7EAA"/>
    <w:rsid w:val="00F4126C"/>
    <w:rsid w:val="00FA0A69"/>
    <w:rsid w:val="00FD59E8"/>
    <w:rsid w:val="00FE56AA"/>
    <w:rsid w:val="00FE611A"/>
    <w:rsid w:val="00FF360A"/>
    <w:rsid w:val="00FF6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3E35"/>
  <w15:chartTrackingRefBased/>
  <w15:docId w15:val="{9FB21DED-2DAF-43F4-9553-69AF9A6B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82336"/>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77001E"/>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5F4D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82336"/>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77001E"/>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uiPriority w:val="34"/>
    <w:qFormat/>
    <w:rsid w:val="000F0783"/>
    <w:pPr>
      <w:ind w:left="720"/>
      <w:contextualSpacing/>
    </w:pPr>
    <w:rPr>
      <w:lang w:val="fi-FI"/>
    </w:rPr>
  </w:style>
  <w:style w:type="character" w:styleId="Hyperlinkki">
    <w:name w:val="Hyperlink"/>
    <w:basedOn w:val="Kappaleenoletusfontti"/>
    <w:uiPriority w:val="99"/>
    <w:unhideWhenUsed/>
    <w:rsid w:val="000B6F47"/>
    <w:rPr>
      <w:color w:val="0563C1" w:themeColor="hyperlink"/>
      <w:u w:val="single"/>
    </w:rPr>
  </w:style>
  <w:style w:type="character" w:styleId="AvattuHyperlinkki">
    <w:name w:val="FollowedHyperlink"/>
    <w:basedOn w:val="Kappaleenoletusfontti"/>
    <w:uiPriority w:val="99"/>
    <w:semiHidden/>
    <w:unhideWhenUsed/>
    <w:rsid w:val="0000472D"/>
    <w:rPr>
      <w:color w:val="954F72" w:themeColor="followedHyperlink"/>
      <w:u w:val="single"/>
    </w:rPr>
  </w:style>
  <w:style w:type="character" w:customStyle="1" w:styleId="Otsikko3Char">
    <w:name w:val="Otsikko 3 Char"/>
    <w:basedOn w:val="Kappaleenoletusfontti"/>
    <w:link w:val="Otsikko3"/>
    <w:uiPriority w:val="9"/>
    <w:rsid w:val="005F4DAD"/>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uiPriority w:val="39"/>
    <w:unhideWhenUsed/>
    <w:qFormat/>
    <w:rsid w:val="00864653"/>
    <w:pPr>
      <w:spacing w:after="0"/>
      <w:outlineLvl w:val="9"/>
    </w:pPr>
    <w:rPr>
      <w:lang w:val="fi-FI" w:eastAsia="fi-FI"/>
    </w:rPr>
  </w:style>
  <w:style w:type="paragraph" w:styleId="Sisluet1">
    <w:name w:val="toc 1"/>
    <w:basedOn w:val="Normaali"/>
    <w:next w:val="Normaali"/>
    <w:autoRedefine/>
    <w:uiPriority w:val="39"/>
    <w:unhideWhenUsed/>
    <w:rsid w:val="00864653"/>
    <w:pPr>
      <w:spacing w:after="100"/>
    </w:pPr>
  </w:style>
  <w:style w:type="paragraph" w:styleId="Sisluet2">
    <w:name w:val="toc 2"/>
    <w:basedOn w:val="Normaali"/>
    <w:next w:val="Normaali"/>
    <w:autoRedefine/>
    <w:uiPriority w:val="39"/>
    <w:unhideWhenUsed/>
    <w:rsid w:val="00864653"/>
    <w:pPr>
      <w:spacing w:after="100"/>
      <w:ind w:left="220"/>
    </w:pPr>
  </w:style>
  <w:style w:type="paragraph" w:styleId="Sisluet3">
    <w:name w:val="toc 3"/>
    <w:basedOn w:val="Normaali"/>
    <w:next w:val="Normaali"/>
    <w:autoRedefine/>
    <w:uiPriority w:val="39"/>
    <w:unhideWhenUsed/>
    <w:rsid w:val="008646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fi/en/arvot-ja-vastuullisuus/yhdenvertainen-urheilu/hyvat-mallit-jakoo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yhdenvertaisuus.fi/yhdenvertaisuussuunnittelu/oppaita-yhdenvertaisuuden-kehitt/"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sa-arvo.fi/lainsaadanto" TargetMode="External"/><Relationship Id="rId14" Type="http://schemas.openxmlformats.org/officeDocument/2006/relationships/customXml" Target="../customXml/item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BDC72E227729A844A79F08F691B03F70" ma:contentTypeVersion="8" ma:contentTypeDescription="Luo uusi asiakirja." ma:contentTypeScope="" ma:versionID="c0760ce6eea0e50c08205c6aa7066d35">
  <xsd:schema xmlns:xsd="http://www.w3.org/2001/XMLSchema" xmlns:xs="http://www.w3.org/2001/XMLSchema" xmlns:p="http://schemas.microsoft.com/office/2006/metadata/properties" xmlns:ns2="f8f3d5e7-78ab-4fda-95e3-1e0a033e12df" xmlns:ns3="62f470ef-5db2-4cae-b29e-94fab7b515e9" targetNamespace="http://schemas.microsoft.com/office/2006/metadata/properties" ma:root="true" ma:fieldsID="0302b759f8ba4a2a6a88975784ccd6c1" ns2:_="" ns3:_="">
    <xsd:import namespace="f8f3d5e7-78ab-4fda-95e3-1e0a033e12df"/>
    <xsd:import namespace="62f470ef-5db2-4cae-b29e-94fab7b515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3d5e7-78ab-4fda-95e3-1e0a033e1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470ef-5db2-4cae-b29e-94fab7b515e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42098-354B-4BB0-8323-360F9891EBD7}">
  <ds:schemaRefs>
    <ds:schemaRef ds:uri="http://schemas.openxmlformats.org/officeDocument/2006/bibliography"/>
  </ds:schemaRefs>
</ds:datastoreItem>
</file>

<file path=customXml/itemProps2.xml><?xml version="1.0" encoding="utf-8"?>
<ds:datastoreItem xmlns:ds="http://schemas.openxmlformats.org/officeDocument/2006/customXml" ds:itemID="{E00CBB54-70C9-440B-8A7E-19F735D91647}"/>
</file>

<file path=customXml/itemProps3.xml><?xml version="1.0" encoding="utf-8"?>
<ds:datastoreItem xmlns:ds="http://schemas.openxmlformats.org/officeDocument/2006/customXml" ds:itemID="{EA92F222-8C9D-462B-8608-6B3BD065E3A8}"/>
</file>

<file path=customXml/itemProps4.xml><?xml version="1.0" encoding="utf-8"?>
<ds:datastoreItem xmlns:ds="http://schemas.openxmlformats.org/officeDocument/2006/customXml" ds:itemID="{DB3C1321-60E5-45A3-933C-C07EAB9CB38E}"/>
</file>

<file path=docProps/app.xml><?xml version="1.0" encoding="utf-8"?>
<Properties xmlns="http://schemas.openxmlformats.org/officeDocument/2006/extended-properties" xmlns:vt="http://schemas.openxmlformats.org/officeDocument/2006/docPropsVTypes">
  <Template>Normal</Template>
  <TotalTime>74</TotalTime>
  <Pages>9</Pages>
  <Words>2917</Words>
  <Characters>23629</Characters>
  <Application>Microsoft Office Word</Application>
  <DocSecurity>0</DocSecurity>
  <Lines>196</Lines>
  <Paragraphs>52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Zilliacus</dc:creator>
  <cp:keywords/>
  <dc:description/>
  <cp:lastModifiedBy>Henrik Zilliacus</cp:lastModifiedBy>
  <cp:revision>5</cp:revision>
  <dcterms:created xsi:type="dcterms:W3CDTF">2017-11-16T12:52:00Z</dcterms:created>
  <dcterms:modified xsi:type="dcterms:W3CDTF">2017-11-16T14:06:00Z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0x010100BDC72E227729A844A79F08F691B03F70</vt:lpwstr>
  </property>
</Properties>
</file>